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C183E" w14:textId="77777777" w:rsidR="00040C3A" w:rsidRPr="00A321D3" w:rsidRDefault="00C0075D" w:rsidP="00975184">
      <w:pPr>
        <w:jc w:val="both"/>
        <w:rPr>
          <w:rFonts w:asciiTheme="majorHAnsi" w:hAnsiTheme="majorHAnsi" w:cs="Univers"/>
          <w:b/>
          <w:bCs/>
          <w:sz w:val="20"/>
          <w:szCs w:val="20"/>
          <w:lang w:val="pt-BR"/>
        </w:rPr>
      </w:pPr>
      <w:r w:rsidRPr="00A321D3">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32F310B1" wp14:editId="31D420A1">
                <wp:simplePos x="0" y="0"/>
                <wp:positionH relativeFrom="column">
                  <wp:posOffset>1282065</wp:posOffset>
                </wp:positionH>
                <wp:positionV relativeFrom="paragraph">
                  <wp:posOffset>-373380</wp:posOffset>
                </wp:positionV>
                <wp:extent cx="5248275" cy="902335"/>
                <wp:effectExtent l="0" t="0" r="0"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F3C4B" w14:textId="77777777" w:rsidR="001050CB" w:rsidRDefault="001050CB" w:rsidP="00AE5488">
                            <w:r>
                              <w:rPr>
                                <w:noProof/>
                              </w:rPr>
                              <w:drawing>
                                <wp:inline distT="0" distB="0" distL="0" distR="0" wp14:anchorId="7463A8B1" wp14:editId="2E4B8D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29.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" filled="f" stroked="f" strokeweight=".5pt">
                <v:path arrowok="t"/>
                <v:textbox>
                  <w:txbxContent>
                    <w:p w14:paraId="202F3C4B" w14:textId="77777777" w:rsidR="001050CB" w:rsidRDefault="001050CB" w:rsidP="00AE5488">
                      <w:r>
                        <w:rPr>
                          <w:noProof/>
                        </w:rPr>
                        <w:drawing>
                          <wp:inline distT="0" distB="0" distL="0" distR="0" wp14:anchorId="7463A8B1" wp14:editId="2E4B8D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A321D3">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31F4A186" wp14:editId="10E54DC6">
                <wp:simplePos x="0" y="0"/>
                <wp:positionH relativeFrom="column">
                  <wp:posOffset>-415925</wp:posOffset>
                </wp:positionH>
                <wp:positionV relativeFrom="paragraph">
                  <wp:posOffset>-439420</wp:posOffset>
                </wp:positionV>
                <wp:extent cx="1543050" cy="9096375"/>
                <wp:effectExtent l="0" t="0" r="635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At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BC9sAtogIAAJ8FAAAOAAAAAAAAAAAAAAAA&#10;AC4CAABkcnMvZTJvRG9jLnhtbFBLAQItABQABgAIAAAAIQDzmg9R4gAAAAwBAAAPAAAAAAAAAAAA&#10;AAAAAPwEAABkcnMvZG93bnJldi54bWxQSwUGAAAAAAQABADzAAAACwYAAAAA&#10;" fillcolor="#4a7194" stroked="f" strokeweight="2pt">
                <v:path arrowok="t"/>
              </v:rect>
            </w:pict>
          </mc:Fallback>
        </mc:AlternateContent>
      </w:r>
      <w:r w:rsidR="003B3A93" w:rsidRPr="00A321D3">
        <w:rPr>
          <w:rFonts w:asciiTheme="majorHAnsi" w:hAnsiTheme="majorHAnsi" w:cs="Univers"/>
          <w:b/>
          <w:bCs/>
          <w:sz w:val="20"/>
          <w:szCs w:val="20"/>
          <w:lang w:val="pt-BR"/>
        </w:rPr>
        <w:t xml:space="preserve"> </w:t>
      </w:r>
    </w:p>
    <w:p w14:paraId="4DCAD52B" w14:textId="77777777" w:rsidR="00040C3A" w:rsidRPr="00A321D3" w:rsidRDefault="00040C3A" w:rsidP="00975184">
      <w:pPr>
        <w:tabs>
          <w:tab w:val="center" w:pos="5400"/>
        </w:tabs>
        <w:suppressAutoHyphens/>
        <w:jc w:val="both"/>
        <w:rPr>
          <w:rFonts w:asciiTheme="majorHAnsi" w:hAnsiTheme="majorHAnsi"/>
          <w:sz w:val="20"/>
          <w:szCs w:val="20"/>
          <w:lang w:val="pt-BR"/>
        </w:rPr>
      </w:pPr>
    </w:p>
    <w:p w14:paraId="7960B9DE" w14:textId="77777777" w:rsidR="00040C3A" w:rsidRPr="00A321D3" w:rsidRDefault="00040C3A" w:rsidP="00975184">
      <w:pPr>
        <w:tabs>
          <w:tab w:val="center" w:pos="5400"/>
        </w:tabs>
        <w:suppressAutoHyphens/>
        <w:jc w:val="both"/>
        <w:rPr>
          <w:rFonts w:asciiTheme="majorHAnsi" w:hAnsiTheme="majorHAnsi"/>
          <w:sz w:val="20"/>
          <w:szCs w:val="20"/>
          <w:lang w:val="pt-BR"/>
        </w:rPr>
      </w:pPr>
    </w:p>
    <w:p w14:paraId="0EC78565" w14:textId="77777777" w:rsidR="005128E4" w:rsidRPr="00A321D3" w:rsidRDefault="005128E4" w:rsidP="00975184">
      <w:pPr>
        <w:tabs>
          <w:tab w:val="center" w:pos="5400"/>
        </w:tabs>
        <w:suppressAutoHyphens/>
        <w:rPr>
          <w:rFonts w:asciiTheme="majorHAnsi" w:hAnsiTheme="majorHAnsi"/>
          <w:sz w:val="20"/>
          <w:szCs w:val="20"/>
          <w:lang w:val="pt-BR"/>
        </w:rPr>
      </w:pPr>
    </w:p>
    <w:p w14:paraId="17551E07" w14:textId="77777777" w:rsidR="005128E4" w:rsidRPr="00A321D3" w:rsidRDefault="005128E4" w:rsidP="00975184">
      <w:pPr>
        <w:tabs>
          <w:tab w:val="center" w:pos="5400"/>
        </w:tabs>
        <w:suppressAutoHyphens/>
        <w:rPr>
          <w:rFonts w:asciiTheme="majorHAnsi" w:hAnsiTheme="majorHAnsi"/>
          <w:sz w:val="20"/>
          <w:szCs w:val="20"/>
          <w:lang w:val="pt-BR"/>
        </w:rPr>
      </w:pPr>
    </w:p>
    <w:p w14:paraId="376DBE12" w14:textId="77777777" w:rsidR="005128E4" w:rsidRPr="00A321D3" w:rsidRDefault="005128E4" w:rsidP="00975184">
      <w:pPr>
        <w:tabs>
          <w:tab w:val="center" w:pos="5400"/>
        </w:tabs>
        <w:suppressAutoHyphens/>
        <w:rPr>
          <w:rFonts w:asciiTheme="majorHAnsi" w:hAnsiTheme="majorHAnsi"/>
          <w:sz w:val="20"/>
          <w:szCs w:val="20"/>
          <w:lang w:val="pt-BR"/>
        </w:rPr>
      </w:pPr>
    </w:p>
    <w:p w14:paraId="082195FA" w14:textId="77777777" w:rsidR="00040C3A" w:rsidRPr="00A321D3" w:rsidRDefault="00040C3A" w:rsidP="00975184">
      <w:pPr>
        <w:tabs>
          <w:tab w:val="center" w:pos="5400"/>
        </w:tabs>
        <w:suppressAutoHyphens/>
        <w:jc w:val="center"/>
        <w:rPr>
          <w:rFonts w:asciiTheme="majorHAnsi" w:hAnsiTheme="majorHAnsi"/>
          <w:sz w:val="20"/>
          <w:szCs w:val="20"/>
          <w:lang w:val="pt-BR"/>
        </w:rPr>
      </w:pPr>
    </w:p>
    <w:p w14:paraId="0B835EB5" w14:textId="77777777" w:rsidR="00040C3A" w:rsidRPr="00A321D3" w:rsidRDefault="00040C3A" w:rsidP="00975184">
      <w:pPr>
        <w:tabs>
          <w:tab w:val="center" w:pos="5400"/>
        </w:tabs>
        <w:suppressAutoHyphens/>
        <w:jc w:val="center"/>
        <w:rPr>
          <w:rFonts w:asciiTheme="majorHAnsi" w:hAnsiTheme="majorHAnsi"/>
          <w:sz w:val="20"/>
          <w:szCs w:val="20"/>
          <w:lang w:val="pt-BR"/>
        </w:rPr>
      </w:pPr>
    </w:p>
    <w:p w14:paraId="49D4F2C9" w14:textId="77777777" w:rsidR="005B52B0" w:rsidRPr="00A321D3" w:rsidRDefault="005B52B0" w:rsidP="00975184">
      <w:pPr>
        <w:tabs>
          <w:tab w:val="center" w:pos="5400"/>
        </w:tabs>
        <w:suppressAutoHyphens/>
        <w:jc w:val="center"/>
        <w:rPr>
          <w:rFonts w:asciiTheme="majorHAnsi" w:hAnsiTheme="majorHAnsi"/>
          <w:sz w:val="20"/>
          <w:szCs w:val="20"/>
          <w:lang w:val="pt-BR"/>
        </w:rPr>
      </w:pPr>
    </w:p>
    <w:p w14:paraId="0972E93B" w14:textId="77777777" w:rsidR="005B52B0" w:rsidRPr="00A321D3" w:rsidRDefault="005B52B0" w:rsidP="00975184">
      <w:pPr>
        <w:tabs>
          <w:tab w:val="center" w:pos="5400"/>
        </w:tabs>
        <w:suppressAutoHyphens/>
        <w:jc w:val="center"/>
        <w:rPr>
          <w:rFonts w:asciiTheme="majorHAnsi" w:hAnsiTheme="majorHAnsi"/>
          <w:sz w:val="20"/>
          <w:szCs w:val="20"/>
          <w:lang w:val="pt-BR"/>
        </w:rPr>
      </w:pPr>
    </w:p>
    <w:p w14:paraId="186A389B" w14:textId="77777777" w:rsidR="005B52B0" w:rsidRPr="00A321D3" w:rsidRDefault="005B52B0" w:rsidP="00975184">
      <w:pPr>
        <w:tabs>
          <w:tab w:val="center" w:pos="5400"/>
        </w:tabs>
        <w:suppressAutoHyphens/>
        <w:jc w:val="center"/>
        <w:rPr>
          <w:rFonts w:asciiTheme="majorHAnsi" w:hAnsiTheme="majorHAnsi"/>
          <w:sz w:val="20"/>
          <w:szCs w:val="20"/>
          <w:lang w:val="pt-BR"/>
        </w:rPr>
      </w:pPr>
    </w:p>
    <w:p w14:paraId="3E0A4051" w14:textId="77777777" w:rsidR="00040C3A" w:rsidRPr="00A321D3" w:rsidRDefault="00040C3A" w:rsidP="00975184">
      <w:pPr>
        <w:tabs>
          <w:tab w:val="center" w:pos="5400"/>
        </w:tabs>
        <w:suppressAutoHyphens/>
        <w:jc w:val="center"/>
        <w:rPr>
          <w:rFonts w:asciiTheme="majorHAnsi" w:hAnsiTheme="majorHAnsi"/>
          <w:sz w:val="20"/>
          <w:szCs w:val="20"/>
          <w:lang w:val="pt-BR"/>
        </w:rPr>
      </w:pPr>
    </w:p>
    <w:p w14:paraId="2A522B22" w14:textId="77777777" w:rsidR="00040C3A" w:rsidRPr="00A321D3" w:rsidRDefault="00040C3A" w:rsidP="00975184">
      <w:pPr>
        <w:tabs>
          <w:tab w:val="center" w:pos="5400"/>
        </w:tabs>
        <w:suppressAutoHyphens/>
        <w:jc w:val="center"/>
        <w:rPr>
          <w:rFonts w:asciiTheme="majorHAnsi" w:hAnsiTheme="majorHAnsi"/>
          <w:sz w:val="20"/>
          <w:szCs w:val="20"/>
          <w:lang w:val="pt-BR"/>
        </w:rPr>
      </w:pPr>
    </w:p>
    <w:p w14:paraId="2D4D8AAC" w14:textId="77777777" w:rsidR="00040C3A" w:rsidRPr="00A321D3" w:rsidRDefault="00C0075D" w:rsidP="00975184">
      <w:pPr>
        <w:tabs>
          <w:tab w:val="center" w:pos="5400"/>
        </w:tabs>
        <w:suppressAutoHyphens/>
        <w:jc w:val="center"/>
        <w:rPr>
          <w:rFonts w:asciiTheme="majorHAnsi" w:hAnsiTheme="majorHAnsi"/>
          <w:sz w:val="20"/>
          <w:szCs w:val="20"/>
          <w:lang w:val="pt-BR"/>
        </w:rPr>
      </w:pPr>
      <w:r w:rsidRPr="00A321D3">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47E57255" wp14:editId="485FF2B5">
                <wp:simplePos x="0" y="0"/>
                <wp:positionH relativeFrom="column">
                  <wp:posOffset>1352550</wp:posOffset>
                </wp:positionH>
                <wp:positionV relativeFrom="paragraph">
                  <wp:posOffset>107315</wp:posOffset>
                </wp:positionV>
                <wp:extent cx="4441190" cy="2181225"/>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D0CCA" w14:textId="48F26336" w:rsidR="001050CB" w:rsidRPr="00B06C1C" w:rsidRDefault="001050CB" w:rsidP="00997BC5">
                            <w:pPr>
                              <w:spacing w:line="276" w:lineRule="auto"/>
                              <w:rPr>
                                <w:rFonts w:asciiTheme="majorHAnsi" w:hAnsiTheme="majorHAnsi" w:cs="Arial"/>
                                <w:b/>
                                <w:bCs/>
                                <w:color w:val="0D0D0D" w:themeColor="text1" w:themeTint="F2"/>
                                <w:sz w:val="36"/>
                                <w:szCs w:val="22"/>
                                <w:lang w:val="es-ES"/>
                              </w:rPr>
                            </w:pPr>
                            <w:r w:rsidRPr="00B06C1C">
                              <w:rPr>
                                <w:rFonts w:asciiTheme="majorHAnsi" w:hAnsiTheme="majorHAnsi" w:cs="Arial"/>
                                <w:b/>
                                <w:bCs/>
                                <w:color w:val="0D0D0D" w:themeColor="text1" w:themeTint="F2"/>
                                <w:sz w:val="36"/>
                                <w:szCs w:val="22"/>
                                <w:lang w:val="es-ES"/>
                              </w:rPr>
                              <w:t xml:space="preserve">INFORME </w:t>
                            </w:r>
                            <w:r w:rsidRPr="00B06C1C">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115/18</w:t>
                            </w:r>
                          </w:p>
                          <w:p w14:paraId="14A0929A" w14:textId="77777777" w:rsidR="001050CB" w:rsidRPr="00093196" w:rsidRDefault="001050CB" w:rsidP="00997BC5">
                            <w:pPr>
                              <w:spacing w:line="276" w:lineRule="auto"/>
                              <w:rPr>
                                <w:rFonts w:asciiTheme="majorHAnsi" w:hAnsiTheme="majorHAnsi" w:cs="Arial"/>
                                <w:b/>
                                <w:color w:val="0D0D0D" w:themeColor="text1" w:themeTint="F2"/>
                                <w:sz w:val="36"/>
                                <w:szCs w:val="22"/>
                                <w:lang w:val="es-ES"/>
                              </w:rPr>
                            </w:pPr>
                            <w:r>
                              <w:rPr>
                                <w:rFonts w:asciiTheme="majorHAnsi" w:hAnsiTheme="majorHAnsi" w:cs="Arial"/>
                                <w:b/>
                                <w:color w:val="0D0D0D" w:themeColor="text1" w:themeTint="F2"/>
                                <w:sz w:val="36"/>
                                <w:szCs w:val="22"/>
                                <w:lang w:val="es-ES"/>
                              </w:rPr>
                              <w:t>CASO 12.827</w:t>
                            </w:r>
                          </w:p>
                          <w:p w14:paraId="6F24E307" w14:textId="77777777" w:rsidR="001050CB" w:rsidRPr="0010736F" w:rsidRDefault="001050C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 xml:space="preserve">FONDO </w:t>
                            </w:r>
                          </w:p>
                          <w:p w14:paraId="75266F83" w14:textId="77777777" w:rsidR="001050CB" w:rsidRPr="0010736F" w:rsidRDefault="001050CB" w:rsidP="00997BC5">
                            <w:pPr>
                              <w:spacing w:line="276" w:lineRule="auto"/>
                              <w:rPr>
                                <w:rFonts w:asciiTheme="majorHAnsi" w:hAnsiTheme="majorHAnsi" w:cs="Arial"/>
                                <w:color w:val="0D0D0D" w:themeColor="text1" w:themeTint="F2"/>
                                <w:szCs w:val="22"/>
                                <w:lang w:val="es-ES_tradnl"/>
                              </w:rPr>
                            </w:pPr>
                            <w:bookmarkStart w:id="0" w:name="_ftnref1"/>
                          </w:p>
                          <w:bookmarkEnd w:id="0"/>
                          <w:p w14:paraId="5E90EB0D" w14:textId="77777777" w:rsidR="001050CB" w:rsidRPr="005E21D4" w:rsidRDefault="001050CB" w:rsidP="00997BC5">
                            <w:pPr>
                              <w:spacing w:line="276" w:lineRule="auto"/>
                              <w:rPr>
                                <w:rFonts w:asciiTheme="majorHAnsi" w:hAnsiTheme="majorHAnsi" w:cs="Arial"/>
                                <w:color w:val="0D0D0D" w:themeColor="text1" w:themeTint="F2"/>
                                <w:szCs w:val="22"/>
                                <w:lang w:val="es-VE"/>
                              </w:rPr>
                            </w:pPr>
                            <w:r>
                              <w:rPr>
                                <w:rFonts w:ascii="Cambria" w:hAnsi="Cambria"/>
                                <w:lang w:val="es-ES"/>
                              </w:rPr>
                              <w:t xml:space="preserve">HÉCTOR FIDEL CORDERO BERNAL </w:t>
                            </w:r>
                          </w:p>
                          <w:p w14:paraId="7896324D" w14:textId="4CB765CD" w:rsidR="001050CB" w:rsidRPr="00305949" w:rsidRDefault="00386D63" w:rsidP="00997BC5">
                            <w:pPr>
                              <w:spacing w:line="276" w:lineRule="auto"/>
                              <w:rPr>
                                <w:rFonts w:asciiTheme="majorHAnsi" w:hAnsiTheme="majorHAnsi" w:cs="Arial"/>
                                <w:color w:val="0D0D0D" w:themeColor="text1" w:themeTint="F2"/>
                                <w:szCs w:val="22"/>
                                <w:lang w:val="es-VE"/>
                              </w:rPr>
                            </w:pPr>
                            <w:r>
                              <w:rPr>
                                <w:rFonts w:asciiTheme="majorHAnsi" w:hAnsiTheme="majorHAnsi" w:cs="Arial"/>
                                <w:color w:val="0D0D0D" w:themeColor="text1" w:themeTint="F2"/>
                                <w:szCs w:val="22"/>
                                <w:lang w:val="es-ES"/>
                              </w:rPr>
                              <w:t>PERU</w:t>
                            </w:r>
                          </w:p>
                          <w:p w14:paraId="3514B959" w14:textId="77777777" w:rsidR="001050CB" w:rsidRPr="00AE5488" w:rsidRDefault="001050CB"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wbqEeo0CAACDBQAADgAAAAAAAAAAAAAAAAAuAgAAZHJzL2Uyb0RvYy54bWxQSwEC&#10;LQAUAAYACAAAACEA9UR3F+AAAAAKAQAADwAAAAAAAAAAAAAAAADnBAAAZHJzL2Rvd25yZXYueG1s&#10;UEsFBgAAAAAEAAQA8wAAAPQFAAAAAA==&#10;" filled="f" stroked="f" strokeweight=".5pt">
                <v:path arrowok="t"/>
                <v:textbox>
                  <w:txbxContent>
                    <w:p w14:paraId="69BD0CCA" w14:textId="48F26336" w:rsidR="001050CB" w:rsidRPr="00B06C1C" w:rsidRDefault="001050CB" w:rsidP="00997BC5">
                      <w:pPr>
                        <w:spacing w:line="276" w:lineRule="auto"/>
                        <w:rPr>
                          <w:rFonts w:asciiTheme="majorHAnsi" w:hAnsiTheme="majorHAnsi" w:cs="Arial"/>
                          <w:b/>
                          <w:bCs/>
                          <w:color w:val="0D0D0D" w:themeColor="text1" w:themeTint="F2"/>
                          <w:sz w:val="36"/>
                          <w:szCs w:val="22"/>
                          <w:lang w:val="es-ES"/>
                        </w:rPr>
                      </w:pPr>
                      <w:r w:rsidRPr="00B06C1C">
                        <w:rPr>
                          <w:rFonts w:asciiTheme="majorHAnsi" w:hAnsiTheme="majorHAnsi" w:cs="Arial"/>
                          <w:b/>
                          <w:bCs/>
                          <w:color w:val="0D0D0D" w:themeColor="text1" w:themeTint="F2"/>
                          <w:sz w:val="36"/>
                          <w:szCs w:val="22"/>
                          <w:lang w:val="es-ES"/>
                        </w:rPr>
                        <w:t xml:space="preserve">INFORME </w:t>
                      </w:r>
                      <w:r w:rsidRPr="00B06C1C">
                        <w:rPr>
                          <w:rFonts w:asciiTheme="majorHAnsi" w:hAnsiTheme="majorHAnsi" w:cs="Arial"/>
                          <w:b/>
                          <w:bCs/>
                          <w:color w:val="0D0D0D" w:themeColor="text1" w:themeTint="F2"/>
                          <w:sz w:val="36"/>
                          <w:szCs w:val="40"/>
                          <w:lang w:val="es-ES"/>
                        </w:rPr>
                        <w:t>No.</w:t>
                      </w:r>
                      <w:r>
                        <w:rPr>
                          <w:rFonts w:asciiTheme="majorHAnsi" w:hAnsiTheme="majorHAnsi" w:cs="Arial"/>
                          <w:b/>
                          <w:bCs/>
                          <w:color w:val="0D0D0D" w:themeColor="text1" w:themeTint="F2"/>
                          <w:sz w:val="36"/>
                          <w:szCs w:val="22"/>
                          <w:lang w:val="es-ES"/>
                        </w:rPr>
                        <w:t xml:space="preserve"> 115/18</w:t>
                      </w:r>
                    </w:p>
                    <w:p w14:paraId="14A0929A" w14:textId="77777777" w:rsidR="001050CB" w:rsidRPr="00093196" w:rsidRDefault="001050CB" w:rsidP="00997BC5">
                      <w:pPr>
                        <w:spacing w:line="276" w:lineRule="auto"/>
                        <w:rPr>
                          <w:rFonts w:asciiTheme="majorHAnsi" w:hAnsiTheme="majorHAnsi" w:cs="Arial"/>
                          <w:b/>
                          <w:color w:val="0D0D0D" w:themeColor="text1" w:themeTint="F2"/>
                          <w:sz w:val="36"/>
                          <w:szCs w:val="22"/>
                          <w:lang w:val="es-ES"/>
                        </w:rPr>
                      </w:pPr>
                      <w:r>
                        <w:rPr>
                          <w:rFonts w:asciiTheme="majorHAnsi" w:hAnsiTheme="majorHAnsi" w:cs="Arial"/>
                          <w:b/>
                          <w:color w:val="0D0D0D" w:themeColor="text1" w:themeTint="F2"/>
                          <w:sz w:val="36"/>
                          <w:szCs w:val="22"/>
                          <w:lang w:val="es-ES"/>
                        </w:rPr>
                        <w:t>CASO 12.827</w:t>
                      </w:r>
                    </w:p>
                    <w:p w14:paraId="6F24E307" w14:textId="77777777" w:rsidR="001050CB" w:rsidRPr="0010736F" w:rsidRDefault="001050CB"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Pr>
                          <w:rFonts w:asciiTheme="majorHAnsi" w:hAnsiTheme="majorHAnsi" w:cs="Arial"/>
                          <w:color w:val="0D0D0D" w:themeColor="text1" w:themeTint="F2"/>
                          <w:szCs w:val="22"/>
                          <w:lang w:val="es-ES_tradnl"/>
                        </w:rPr>
                        <w:t xml:space="preserve">FONDO </w:t>
                      </w:r>
                    </w:p>
                    <w:p w14:paraId="75266F83" w14:textId="77777777" w:rsidR="001050CB" w:rsidRPr="0010736F" w:rsidRDefault="001050CB" w:rsidP="00997BC5">
                      <w:pPr>
                        <w:spacing w:line="276" w:lineRule="auto"/>
                        <w:rPr>
                          <w:rFonts w:asciiTheme="majorHAnsi" w:hAnsiTheme="majorHAnsi" w:cs="Arial"/>
                          <w:color w:val="0D0D0D" w:themeColor="text1" w:themeTint="F2"/>
                          <w:szCs w:val="22"/>
                          <w:lang w:val="es-ES_tradnl"/>
                        </w:rPr>
                      </w:pPr>
                      <w:bookmarkStart w:id="2" w:name="_ftnref1"/>
                    </w:p>
                    <w:bookmarkEnd w:id="2"/>
                    <w:p w14:paraId="5E90EB0D" w14:textId="77777777" w:rsidR="001050CB" w:rsidRPr="005E21D4" w:rsidRDefault="001050CB" w:rsidP="00997BC5">
                      <w:pPr>
                        <w:spacing w:line="276" w:lineRule="auto"/>
                        <w:rPr>
                          <w:rFonts w:asciiTheme="majorHAnsi" w:hAnsiTheme="majorHAnsi" w:cs="Arial"/>
                          <w:color w:val="0D0D0D" w:themeColor="text1" w:themeTint="F2"/>
                          <w:szCs w:val="22"/>
                          <w:lang w:val="es-VE"/>
                        </w:rPr>
                      </w:pPr>
                      <w:r>
                        <w:rPr>
                          <w:rFonts w:ascii="Cambria" w:hAnsi="Cambria"/>
                          <w:lang w:val="es-ES"/>
                        </w:rPr>
                        <w:t xml:space="preserve">HÉCTOR FIDEL CORDERO BERNAL </w:t>
                      </w:r>
                    </w:p>
                    <w:p w14:paraId="7896324D" w14:textId="4CB765CD" w:rsidR="001050CB" w:rsidRPr="00305949" w:rsidRDefault="00386D63" w:rsidP="00997BC5">
                      <w:pPr>
                        <w:spacing w:line="276" w:lineRule="auto"/>
                        <w:rPr>
                          <w:rFonts w:asciiTheme="majorHAnsi" w:hAnsiTheme="majorHAnsi" w:cs="Arial"/>
                          <w:color w:val="0D0D0D" w:themeColor="text1" w:themeTint="F2"/>
                          <w:szCs w:val="22"/>
                          <w:lang w:val="es-VE"/>
                        </w:rPr>
                      </w:pPr>
                      <w:r>
                        <w:rPr>
                          <w:rFonts w:asciiTheme="majorHAnsi" w:hAnsiTheme="majorHAnsi" w:cs="Arial"/>
                          <w:color w:val="0D0D0D" w:themeColor="text1" w:themeTint="F2"/>
                          <w:szCs w:val="22"/>
                          <w:lang w:val="es-ES"/>
                        </w:rPr>
                        <w:t>PERU</w:t>
                      </w:r>
                      <w:bookmarkStart w:id="3" w:name="_GoBack"/>
                      <w:bookmarkEnd w:id="3"/>
                    </w:p>
                    <w:p w14:paraId="3514B959" w14:textId="77777777" w:rsidR="001050CB" w:rsidRPr="00AE5488" w:rsidRDefault="001050CB" w:rsidP="007A5817">
                      <w:pPr>
                        <w:rPr>
                          <w:color w:val="0D0D0D" w:themeColor="text1" w:themeTint="F2"/>
                          <w:lang w:val="es-ES_tradnl"/>
                        </w:rPr>
                      </w:pPr>
                    </w:p>
                  </w:txbxContent>
                </v:textbox>
              </v:shape>
            </w:pict>
          </mc:Fallback>
        </mc:AlternateContent>
      </w:r>
      <w:r w:rsidRPr="00A321D3">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23EEDCB4" wp14:editId="1D959BCA">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A8C7A9" w14:textId="3095B2D2" w:rsidR="001050CB" w:rsidRPr="0094120E" w:rsidRDefault="001050C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OEA/Ser.L/V/II.169</w:t>
                            </w:r>
                          </w:p>
                          <w:p w14:paraId="0D0086A0" w14:textId="2D3B4C30" w:rsidR="001050CB" w:rsidRPr="0094120E" w:rsidRDefault="001050C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132</w:t>
                            </w:r>
                          </w:p>
                          <w:p w14:paraId="68394EA3" w14:textId="19262C9F" w:rsidR="001050CB" w:rsidRPr="00B06C1C" w:rsidRDefault="001050C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5 octubre</w:t>
                            </w:r>
                            <w:r w:rsidRPr="00B06C1C">
                              <w:rPr>
                                <w:rFonts w:asciiTheme="minorHAnsi" w:hAnsiTheme="minorHAnsi"/>
                                <w:color w:val="FFFFFF" w:themeColor="background1"/>
                                <w:sz w:val="22"/>
                                <w:lang w:val="pt-BR"/>
                              </w:rPr>
                              <w:t xml:space="preserve"> 201</w:t>
                            </w:r>
                            <w:r>
                              <w:rPr>
                                <w:rFonts w:asciiTheme="minorHAnsi" w:hAnsiTheme="minorHAnsi"/>
                                <w:color w:val="FFFFFF" w:themeColor="background1"/>
                                <w:sz w:val="22"/>
                                <w:lang w:val="pt-BR"/>
                              </w:rPr>
                              <w:t>8</w:t>
                            </w:r>
                          </w:p>
                          <w:p w14:paraId="798AAAFD" w14:textId="77777777" w:rsidR="001050CB" w:rsidRPr="000C5BC3" w:rsidRDefault="001050CB" w:rsidP="007A5817">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14:paraId="53A8C7A9" w14:textId="3095B2D2" w:rsidR="001050CB" w:rsidRPr="0094120E" w:rsidRDefault="001050C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OEA/Ser.L/V/II.169</w:t>
                      </w:r>
                    </w:p>
                    <w:p w14:paraId="0D0086A0" w14:textId="2D3B4C30" w:rsidR="001050CB" w:rsidRPr="0094120E" w:rsidRDefault="001050C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132</w:t>
                      </w:r>
                    </w:p>
                    <w:p w14:paraId="68394EA3" w14:textId="19262C9F" w:rsidR="001050CB" w:rsidRPr="00B06C1C" w:rsidRDefault="001050C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5 octubre</w:t>
                      </w:r>
                      <w:r w:rsidRPr="00B06C1C">
                        <w:rPr>
                          <w:rFonts w:asciiTheme="minorHAnsi" w:hAnsiTheme="minorHAnsi"/>
                          <w:color w:val="FFFFFF" w:themeColor="background1"/>
                          <w:sz w:val="22"/>
                          <w:lang w:val="pt-BR"/>
                        </w:rPr>
                        <w:t xml:space="preserve"> 201</w:t>
                      </w:r>
                      <w:r>
                        <w:rPr>
                          <w:rFonts w:asciiTheme="minorHAnsi" w:hAnsiTheme="minorHAnsi"/>
                          <w:color w:val="FFFFFF" w:themeColor="background1"/>
                          <w:sz w:val="22"/>
                          <w:lang w:val="pt-BR"/>
                        </w:rPr>
                        <w:t>8</w:t>
                      </w:r>
                    </w:p>
                    <w:p w14:paraId="798AAAFD" w14:textId="77777777" w:rsidR="001050CB" w:rsidRPr="000C5BC3" w:rsidRDefault="001050CB" w:rsidP="007A5817">
                      <w:pPr>
                        <w:spacing w:line="276" w:lineRule="auto"/>
                        <w:jc w:val="right"/>
                        <w:rPr>
                          <w:rFonts w:asciiTheme="minorHAnsi" w:hAnsiTheme="minorHAnsi"/>
                          <w:color w:val="FFFFFF" w:themeColor="background1"/>
                          <w:sz w:val="22"/>
                          <w:lang w:val="es-ES"/>
                        </w:rPr>
                      </w:pPr>
                      <w:r w:rsidRPr="000C5BC3">
                        <w:rPr>
                          <w:rFonts w:asciiTheme="minorHAnsi" w:hAnsiTheme="minorHAnsi"/>
                          <w:color w:val="FFFFFF" w:themeColor="background1"/>
                          <w:sz w:val="22"/>
                          <w:lang w:val="es-ES"/>
                        </w:rPr>
                        <w:t>Original: español</w:t>
                      </w:r>
                    </w:p>
                  </w:txbxContent>
                </v:textbox>
              </v:shape>
            </w:pict>
          </mc:Fallback>
        </mc:AlternateContent>
      </w:r>
    </w:p>
    <w:p w14:paraId="12CDC1BA" w14:textId="77777777" w:rsidR="00040C3A" w:rsidRPr="00A321D3" w:rsidRDefault="00040C3A" w:rsidP="00975184">
      <w:pPr>
        <w:tabs>
          <w:tab w:val="center" w:pos="5400"/>
        </w:tabs>
        <w:suppressAutoHyphens/>
        <w:jc w:val="center"/>
        <w:rPr>
          <w:rFonts w:asciiTheme="majorHAnsi" w:hAnsiTheme="majorHAnsi"/>
          <w:sz w:val="20"/>
          <w:szCs w:val="20"/>
          <w:lang w:val="pt-BR"/>
        </w:rPr>
      </w:pPr>
    </w:p>
    <w:p w14:paraId="7A8DBCDB" w14:textId="77777777" w:rsidR="00040C3A" w:rsidRPr="00A321D3" w:rsidRDefault="00040C3A" w:rsidP="00975184">
      <w:pPr>
        <w:tabs>
          <w:tab w:val="center" w:pos="5400"/>
        </w:tabs>
        <w:suppressAutoHyphens/>
        <w:jc w:val="center"/>
        <w:rPr>
          <w:rFonts w:asciiTheme="majorHAnsi" w:hAnsiTheme="majorHAnsi"/>
          <w:sz w:val="20"/>
          <w:szCs w:val="20"/>
          <w:lang w:val="pt-BR"/>
        </w:rPr>
      </w:pPr>
    </w:p>
    <w:p w14:paraId="2A9317EB" w14:textId="77777777" w:rsidR="00040C3A" w:rsidRPr="00A321D3" w:rsidRDefault="00040C3A" w:rsidP="00975184">
      <w:pPr>
        <w:tabs>
          <w:tab w:val="center" w:pos="5400"/>
        </w:tabs>
        <w:suppressAutoHyphens/>
        <w:jc w:val="center"/>
        <w:rPr>
          <w:rFonts w:asciiTheme="majorHAnsi" w:hAnsiTheme="majorHAnsi" w:cs="Arial"/>
          <w:sz w:val="20"/>
          <w:szCs w:val="20"/>
          <w:lang w:val="pt-BR"/>
        </w:rPr>
      </w:pPr>
    </w:p>
    <w:p w14:paraId="68095DAC" w14:textId="77777777" w:rsidR="00040C3A" w:rsidRPr="00A321D3" w:rsidRDefault="00040C3A" w:rsidP="00975184">
      <w:pPr>
        <w:tabs>
          <w:tab w:val="center" w:pos="5400"/>
        </w:tabs>
        <w:suppressAutoHyphens/>
        <w:jc w:val="center"/>
        <w:rPr>
          <w:rFonts w:asciiTheme="majorHAnsi" w:hAnsiTheme="majorHAnsi"/>
          <w:sz w:val="20"/>
          <w:szCs w:val="20"/>
          <w:lang w:val="pt-BR"/>
        </w:rPr>
      </w:pPr>
    </w:p>
    <w:p w14:paraId="4A5B7E61" w14:textId="77777777" w:rsidR="00040C3A" w:rsidRPr="00A321D3" w:rsidRDefault="00040C3A" w:rsidP="00975184">
      <w:pPr>
        <w:tabs>
          <w:tab w:val="center" w:pos="5400"/>
        </w:tabs>
        <w:suppressAutoHyphens/>
        <w:jc w:val="center"/>
        <w:rPr>
          <w:rFonts w:asciiTheme="majorHAnsi" w:hAnsiTheme="majorHAnsi"/>
          <w:sz w:val="20"/>
          <w:szCs w:val="20"/>
          <w:lang w:val="pt-BR"/>
        </w:rPr>
      </w:pPr>
    </w:p>
    <w:p w14:paraId="330C227C" w14:textId="77777777" w:rsidR="00040C3A" w:rsidRPr="00A321D3" w:rsidRDefault="00040C3A" w:rsidP="00975184">
      <w:pPr>
        <w:tabs>
          <w:tab w:val="center" w:pos="5400"/>
        </w:tabs>
        <w:suppressAutoHyphens/>
        <w:jc w:val="center"/>
        <w:rPr>
          <w:rFonts w:asciiTheme="majorHAnsi" w:hAnsiTheme="majorHAnsi"/>
          <w:sz w:val="20"/>
          <w:szCs w:val="20"/>
          <w:lang w:val="pt-BR"/>
        </w:rPr>
      </w:pPr>
    </w:p>
    <w:p w14:paraId="7393C151" w14:textId="77777777" w:rsidR="00040C3A" w:rsidRPr="00A321D3" w:rsidRDefault="00040C3A" w:rsidP="00975184">
      <w:pPr>
        <w:tabs>
          <w:tab w:val="center" w:pos="5400"/>
        </w:tabs>
        <w:suppressAutoHyphens/>
        <w:jc w:val="center"/>
        <w:rPr>
          <w:rFonts w:asciiTheme="majorHAnsi" w:hAnsiTheme="majorHAnsi"/>
          <w:sz w:val="20"/>
          <w:szCs w:val="20"/>
          <w:lang w:val="pt-BR"/>
        </w:rPr>
      </w:pPr>
    </w:p>
    <w:p w14:paraId="066C2B34" w14:textId="77777777" w:rsidR="005128E4" w:rsidRPr="00A321D3" w:rsidRDefault="005128E4" w:rsidP="00975184">
      <w:pPr>
        <w:tabs>
          <w:tab w:val="center" w:pos="5400"/>
        </w:tabs>
        <w:suppressAutoHyphens/>
        <w:jc w:val="center"/>
        <w:rPr>
          <w:rFonts w:asciiTheme="majorHAnsi" w:hAnsiTheme="majorHAnsi"/>
          <w:sz w:val="20"/>
          <w:szCs w:val="20"/>
          <w:lang w:val="pt-BR"/>
        </w:rPr>
      </w:pPr>
    </w:p>
    <w:p w14:paraId="7EC21738" w14:textId="77777777" w:rsidR="00040C3A" w:rsidRPr="00A321D3" w:rsidRDefault="00040C3A" w:rsidP="00975184">
      <w:pPr>
        <w:tabs>
          <w:tab w:val="center" w:pos="5400"/>
        </w:tabs>
        <w:suppressAutoHyphens/>
        <w:jc w:val="center"/>
        <w:rPr>
          <w:rFonts w:asciiTheme="majorHAnsi" w:hAnsiTheme="majorHAnsi"/>
          <w:sz w:val="20"/>
          <w:szCs w:val="20"/>
          <w:lang w:val="pt-BR"/>
        </w:rPr>
      </w:pPr>
    </w:p>
    <w:p w14:paraId="7701BB6C" w14:textId="77777777" w:rsidR="005128E4" w:rsidRPr="00A321D3" w:rsidRDefault="005128E4" w:rsidP="00975184">
      <w:pPr>
        <w:tabs>
          <w:tab w:val="center" w:pos="5400"/>
        </w:tabs>
        <w:suppressAutoHyphens/>
        <w:jc w:val="center"/>
        <w:rPr>
          <w:rFonts w:asciiTheme="majorHAnsi" w:hAnsiTheme="majorHAnsi"/>
          <w:sz w:val="20"/>
          <w:szCs w:val="20"/>
          <w:lang w:val="pt-BR"/>
        </w:rPr>
      </w:pPr>
    </w:p>
    <w:p w14:paraId="188016A6" w14:textId="77777777" w:rsidR="005128E4" w:rsidRPr="00A321D3" w:rsidRDefault="005128E4" w:rsidP="00975184">
      <w:pPr>
        <w:tabs>
          <w:tab w:val="center" w:pos="5400"/>
        </w:tabs>
        <w:suppressAutoHyphens/>
        <w:jc w:val="center"/>
        <w:rPr>
          <w:rFonts w:asciiTheme="majorHAnsi" w:hAnsiTheme="majorHAnsi"/>
          <w:sz w:val="20"/>
          <w:szCs w:val="20"/>
          <w:lang w:val="pt-BR"/>
        </w:rPr>
      </w:pPr>
    </w:p>
    <w:p w14:paraId="04F18DE3" w14:textId="77777777" w:rsidR="005128E4" w:rsidRPr="00A321D3" w:rsidRDefault="005128E4" w:rsidP="00975184">
      <w:pPr>
        <w:tabs>
          <w:tab w:val="center" w:pos="5400"/>
        </w:tabs>
        <w:suppressAutoHyphens/>
        <w:jc w:val="center"/>
        <w:rPr>
          <w:rFonts w:asciiTheme="majorHAnsi" w:hAnsiTheme="majorHAnsi"/>
          <w:sz w:val="20"/>
          <w:szCs w:val="20"/>
          <w:lang w:val="pt-BR"/>
        </w:rPr>
      </w:pPr>
    </w:p>
    <w:p w14:paraId="41DCFE0E" w14:textId="77777777" w:rsidR="00040C3A" w:rsidRPr="00A321D3" w:rsidRDefault="00040C3A" w:rsidP="00975184">
      <w:pPr>
        <w:tabs>
          <w:tab w:val="center" w:pos="5400"/>
        </w:tabs>
        <w:suppressAutoHyphens/>
        <w:jc w:val="center"/>
        <w:rPr>
          <w:rFonts w:asciiTheme="majorHAnsi" w:hAnsiTheme="majorHAnsi"/>
          <w:sz w:val="20"/>
          <w:szCs w:val="20"/>
          <w:lang w:val="pt-BR"/>
        </w:rPr>
      </w:pPr>
    </w:p>
    <w:p w14:paraId="560B2897" w14:textId="77777777" w:rsidR="00040C3A" w:rsidRPr="00A321D3" w:rsidRDefault="00040C3A" w:rsidP="00975184">
      <w:pPr>
        <w:tabs>
          <w:tab w:val="center" w:pos="5400"/>
        </w:tabs>
        <w:suppressAutoHyphens/>
        <w:jc w:val="center"/>
        <w:rPr>
          <w:rFonts w:asciiTheme="majorHAnsi" w:hAnsiTheme="majorHAnsi"/>
          <w:sz w:val="20"/>
          <w:szCs w:val="20"/>
          <w:lang w:val="pt-BR"/>
        </w:rPr>
      </w:pPr>
    </w:p>
    <w:p w14:paraId="052109F7" w14:textId="77777777" w:rsidR="00A50FCF" w:rsidRPr="00A321D3" w:rsidRDefault="00A50FCF" w:rsidP="00975184">
      <w:pPr>
        <w:tabs>
          <w:tab w:val="center" w:pos="5400"/>
        </w:tabs>
        <w:suppressAutoHyphens/>
        <w:jc w:val="center"/>
        <w:rPr>
          <w:rFonts w:asciiTheme="majorHAnsi" w:hAnsiTheme="majorHAnsi"/>
          <w:sz w:val="20"/>
          <w:szCs w:val="20"/>
          <w:lang w:val="pt-BR"/>
        </w:rPr>
      </w:pPr>
    </w:p>
    <w:p w14:paraId="5F880BCA" w14:textId="77777777" w:rsidR="00A50FCF" w:rsidRPr="00A321D3" w:rsidRDefault="00A50FCF" w:rsidP="00975184">
      <w:pPr>
        <w:tabs>
          <w:tab w:val="center" w:pos="5400"/>
        </w:tabs>
        <w:suppressAutoHyphens/>
        <w:jc w:val="center"/>
        <w:rPr>
          <w:rFonts w:asciiTheme="majorHAnsi" w:hAnsiTheme="majorHAnsi"/>
          <w:sz w:val="20"/>
          <w:szCs w:val="20"/>
          <w:lang w:val="pt-BR"/>
        </w:rPr>
      </w:pPr>
    </w:p>
    <w:p w14:paraId="01393408" w14:textId="77777777" w:rsidR="00A50FCF" w:rsidRPr="00A321D3" w:rsidRDefault="00A50FCF" w:rsidP="00975184">
      <w:pPr>
        <w:tabs>
          <w:tab w:val="center" w:pos="5400"/>
        </w:tabs>
        <w:suppressAutoHyphens/>
        <w:jc w:val="center"/>
        <w:rPr>
          <w:rFonts w:asciiTheme="majorHAnsi" w:hAnsiTheme="majorHAnsi"/>
          <w:sz w:val="20"/>
          <w:szCs w:val="20"/>
          <w:lang w:val="pt-BR"/>
        </w:rPr>
      </w:pPr>
    </w:p>
    <w:p w14:paraId="0A8DBCC0" w14:textId="77777777" w:rsidR="00A50FCF" w:rsidRPr="00A321D3" w:rsidRDefault="00A50FCF" w:rsidP="00975184">
      <w:pPr>
        <w:tabs>
          <w:tab w:val="center" w:pos="5400"/>
        </w:tabs>
        <w:suppressAutoHyphens/>
        <w:jc w:val="center"/>
        <w:rPr>
          <w:rFonts w:asciiTheme="majorHAnsi" w:hAnsiTheme="majorHAnsi"/>
          <w:sz w:val="20"/>
          <w:szCs w:val="20"/>
          <w:lang w:val="pt-BR"/>
        </w:rPr>
      </w:pPr>
    </w:p>
    <w:p w14:paraId="7A8EBACF" w14:textId="77777777" w:rsidR="00A50FCF" w:rsidRPr="00A321D3" w:rsidRDefault="00A50FCF" w:rsidP="00975184">
      <w:pPr>
        <w:tabs>
          <w:tab w:val="center" w:pos="5400"/>
        </w:tabs>
        <w:suppressAutoHyphens/>
        <w:jc w:val="center"/>
        <w:rPr>
          <w:rFonts w:asciiTheme="majorHAnsi" w:hAnsiTheme="majorHAnsi"/>
          <w:sz w:val="20"/>
          <w:szCs w:val="20"/>
          <w:lang w:val="pt-BR"/>
        </w:rPr>
      </w:pPr>
    </w:p>
    <w:p w14:paraId="50A19138" w14:textId="77777777" w:rsidR="00A50FCF" w:rsidRPr="00A321D3" w:rsidRDefault="00A50FCF" w:rsidP="00975184">
      <w:pPr>
        <w:tabs>
          <w:tab w:val="center" w:pos="5400"/>
        </w:tabs>
        <w:suppressAutoHyphens/>
        <w:jc w:val="center"/>
        <w:rPr>
          <w:rFonts w:asciiTheme="majorHAnsi" w:hAnsiTheme="majorHAnsi"/>
          <w:sz w:val="20"/>
          <w:szCs w:val="20"/>
          <w:lang w:val="pt-BR"/>
        </w:rPr>
      </w:pPr>
    </w:p>
    <w:p w14:paraId="614CF6DF" w14:textId="77777777" w:rsidR="00A50FCF" w:rsidRPr="00A321D3" w:rsidRDefault="00A50FCF" w:rsidP="00975184">
      <w:pPr>
        <w:tabs>
          <w:tab w:val="center" w:pos="5400"/>
        </w:tabs>
        <w:suppressAutoHyphens/>
        <w:jc w:val="center"/>
        <w:rPr>
          <w:rFonts w:asciiTheme="majorHAnsi" w:hAnsiTheme="majorHAnsi"/>
          <w:sz w:val="20"/>
          <w:szCs w:val="20"/>
          <w:lang w:val="pt-BR"/>
        </w:rPr>
      </w:pPr>
    </w:p>
    <w:p w14:paraId="60A7A792" w14:textId="77777777" w:rsidR="00A50FCF" w:rsidRPr="00A321D3" w:rsidRDefault="00A50FCF" w:rsidP="00975184">
      <w:pPr>
        <w:tabs>
          <w:tab w:val="center" w:pos="5400"/>
        </w:tabs>
        <w:suppressAutoHyphens/>
        <w:jc w:val="center"/>
        <w:rPr>
          <w:rFonts w:asciiTheme="majorHAnsi" w:hAnsiTheme="majorHAnsi"/>
          <w:sz w:val="20"/>
          <w:szCs w:val="20"/>
          <w:lang w:val="pt-BR"/>
        </w:rPr>
      </w:pPr>
    </w:p>
    <w:p w14:paraId="1AD46EB9" w14:textId="77777777" w:rsidR="00A50FCF" w:rsidRPr="00A321D3" w:rsidRDefault="00A50FCF" w:rsidP="00975184">
      <w:pPr>
        <w:tabs>
          <w:tab w:val="center" w:pos="5400"/>
        </w:tabs>
        <w:suppressAutoHyphens/>
        <w:jc w:val="center"/>
        <w:rPr>
          <w:rFonts w:asciiTheme="majorHAnsi" w:hAnsiTheme="majorHAnsi"/>
          <w:sz w:val="20"/>
          <w:szCs w:val="20"/>
          <w:lang w:val="pt-BR"/>
        </w:rPr>
      </w:pPr>
    </w:p>
    <w:p w14:paraId="62A86B26" w14:textId="77777777" w:rsidR="00A50FCF" w:rsidRPr="00A321D3" w:rsidRDefault="00A50FCF" w:rsidP="00975184">
      <w:pPr>
        <w:tabs>
          <w:tab w:val="center" w:pos="5400"/>
        </w:tabs>
        <w:suppressAutoHyphens/>
        <w:jc w:val="center"/>
        <w:rPr>
          <w:rFonts w:asciiTheme="majorHAnsi" w:hAnsiTheme="majorHAnsi"/>
          <w:sz w:val="20"/>
          <w:szCs w:val="20"/>
          <w:lang w:val="pt-BR"/>
        </w:rPr>
      </w:pPr>
    </w:p>
    <w:p w14:paraId="722376A1" w14:textId="77777777" w:rsidR="00A50FCF" w:rsidRPr="00A321D3" w:rsidRDefault="00A50FCF" w:rsidP="00975184">
      <w:pPr>
        <w:tabs>
          <w:tab w:val="center" w:pos="5400"/>
        </w:tabs>
        <w:suppressAutoHyphens/>
        <w:jc w:val="center"/>
        <w:rPr>
          <w:rFonts w:asciiTheme="majorHAnsi" w:hAnsiTheme="majorHAnsi"/>
          <w:sz w:val="20"/>
          <w:szCs w:val="20"/>
          <w:lang w:val="pt-BR"/>
        </w:rPr>
      </w:pPr>
    </w:p>
    <w:p w14:paraId="558AF8EC" w14:textId="77777777" w:rsidR="00A50FCF" w:rsidRPr="00A321D3" w:rsidRDefault="00A50FCF" w:rsidP="00975184">
      <w:pPr>
        <w:tabs>
          <w:tab w:val="center" w:pos="5400"/>
        </w:tabs>
        <w:suppressAutoHyphens/>
        <w:jc w:val="center"/>
        <w:rPr>
          <w:rFonts w:asciiTheme="majorHAnsi" w:hAnsiTheme="majorHAnsi"/>
          <w:sz w:val="20"/>
          <w:szCs w:val="20"/>
          <w:lang w:val="pt-BR"/>
        </w:rPr>
      </w:pPr>
    </w:p>
    <w:p w14:paraId="4F7C4814" w14:textId="77777777" w:rsidR="00A50FCF" w:rsidRPr="00A321D3" w:rsidRDefault="00A50FCF" w:rsidP="00975184">
      <w:pPr>
        <w:tabs>
          <w:tab w:val="center" w:pos="5400"/>
        </w:tabs>
        <w:suppressAutoHyphens/>
        <w:jc w:val="center"/>
        <w:rPr>
          <w:rFonts w:asciiTheme="majorHAnsi" w:hAnsiTheme="majorHAnsi"/>
          <w:sz w:val="20"/>
          <w:szCs w:val="20"/>
          <w:lang w:val="pt-BR"/>
        </w:rPr>
      </w:pPr>
    </w:p>
    <w:p w14:paraId="6DE61901" w14:textId="77777777" w:rsidR="00A50FCF" w:rsidRPr="00A321D3" w:rsidRDefault="00A50FCF" w:rsidP="00975184">
      <w:pPr>
        <w:tabs>
          <w:tab w:val="center" w:pos="5400"/>
        </w:tabs>
        <w:suppressAutoHyphens/>
        <w:jc w:val="center"/>
        <w:rPr>
          <w:rFonts w:asciiTheme="majorHAnsi" w:hAnsiTheme="majorHAnsi"/>
          <w:sz w:val="20"/>
          <w:szCs w:val="20"/>
          <w:lang w:val="pt-BR"/>
        </w:rPr>
      </w:pPr>
    </w:p>
    <w:p w14:paraId="2F5A313A" w14:textId="77777777" w:rsidR="00A50FCF" w:rsidRPr="00A321D3" w:rsidRDefault="00C0075D" w:rsidP="00975184">
      <w:pPr>
        <w:tabs>
          <w:tab w:val="center" w:pos="5400"/>
        </w:tabs>
        <w:suppressAutoHyphens/>
        <w:jc w:val="center"/>
        <w:rPr>
          <w:rFonts w:asciiTheme="majorHAnsi" w:hAnsiTheme="majorHAnsi"/>
          <w:sz w:val="20"/>
          <w:szCs w:val="20"/>
          <w:lang w:val="pt-BR"/>
        </w:rPr>
      </w:pPr>
      <w:r w:rsidRPr="00A321D3">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0F866948" wp14:editId="48EE0EFA">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382288" w14:textId="0CB3666B" w:rsidR="001050CB" w:rsidRPr="00890650" w:rsidRDefault="001050CB"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 xml:space="preserve">o. 2137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5 de octubre de 2018</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169 Período Ordinario de S</w:t>
                            </w:r>
                            <w:r w:rsidRPr="00890650">
                              <w:rPr>
                                <w:rFonts w:asciiTheme="majorHAnsi" w:hAnsiTheme="majorHAnsi" w:cs="Univers"/>
                                <w:color w:val="0D0D0D" w:themeColor="text1" w:themeTint="F2"/>
                                <w:sz w:val="18"/>
                                <w:szCs w:val="20"/>
                                <w:lang w:val="es-ES_tradnl"/>
                              </w:rPr>
                              <w:t>esiones</w:t>
                            </w:r>
                            <w:r>
                              <w:rPr>
                                <w:rFonts w:asciiTheme="majorHAnsi" w:hAnsiTheme="majorHAnsi" w:cs="Univers"/>
                                <w:color w:val="0D0D0D" w:themeColor="text1" w:themeTint="F2"/>
                                <w:sz w:val="18"/>
                                <w:szCs w:val="20"/>
                                <w:lang w:val="es-ES_trad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14:paraId="2C382288" w14:textId="0CB3666B" w:rsidR="001050CB" w:rsidRPr="00890650" w:rsidRDefault="001050CB"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 xml:space="preserve">o. 2137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5 de octubre de 2018</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169 Período Ordinario de S</w:t>
                      </w:r>
                      <w:r w:rsidRPr="00890650">
                        <w:rPr>
                          <w:rFonts w:asciiTheme="majorHAnsi" w:hAnsiTheme="majorHAnsi" w:cs="Univers"/>
                          <w:color w:val="0D0D0D" w:themeColor="text1" w:themeTint="F2"/>
                          <w:sz w:val="18"/>
                          <w:szCs w:val="20"/>
                          <w:lang w:val="es-ES_tradnl"/>
                        </w:rPr>
                        <w:t>esiones</w:t>
                      </w:r>
                      <w:r>
                        <w:rPr>
                          <w:rFonts w:asciiTheme="majorHAnsi" w:hAnsiTheme="majorHAnsi" w:cs="Univers"/>
                          <w:color w:val="0D0D0D" w:themeColor="text1" w:themeTint="F2"/>
                          <w:sz w:val="18"/>
                          <w:szCs w:val="20"/>
                          <w:lang w:val="es-ES_tradnl"/>
                        </w:rPr>
                        <w:t>.</w:t>
                      </w:r>
                    </w:p>
                  </w:txbxContent>
                </v:textbox>
              </v:shape>
            </w:pict>
          </mc:Fallback>
        </mc:AlternateContent>
      </w:r>
    </w:p>
    <w:p w14:paraId="321F4D45" w14:textId="77777777" w:rsidR="00A50FCF" w:rsidRPr="00A321D3" w:rsidRDefault="00A50FCF" w:rsidP="00975184">
      <w:pPr>
        <w:tabs>
          <w:tab w:val="center" w:pos="5400"/>
        </w:tabs>
        <w:suppressAutoHyphens/>
        <w:jc w:val="center"/>
        <w:rPr>
          <w:rFonts w:asciiTheme="majorHAnsi" w:hAnsiTheme="majorHAnsi"/>
          <w:sz w:val="20"/>
          <w:szCs w:val="20"/>
          <w:lang w:val="pt-BR"/>
        </w:rPr>
      </w:pPr>
    </w:p>
    <w:p w14:paraId="75E429AD" w14:textId="77777777" w:rsidR="00A50FCF" w:rsidRPr="00A321D3" w:rsidRDefault="00A50FCF" w:rsidP="00975184">
      <w:pPr>
        <w:tabs>
          <w:tab w:val="center" w:pos="5400"/>
        </w:tabs>
        <w:suppressAutoHyphens/>
        <w:jc w:val="center"/>
        <w:rPr>
          <w:rFonts w:asciiTheme="majorHAnsi" w:hAnsiTheme="majorHAnsi"/>
          <w:sz w:val="20"/>
          <w:szCs w:val="20"/>
          <w:lang w:val="pt-BR"/>
        </w:rPr>
      </w:pPr>
    </w:p>
    <w:p w14:paraId="4D1FDB57" w14:textId="77777777" w:rsidR="00A50FCF" w:rsidRPr="00A321D3" w:rsidRDefault="00A50FCF" w:rsidP="00975184">
      <w:pPr>
        <w:tabs>
          <w:tab w:val="center" w:pos="5400"/>
        </w:tabs>
        <w:suppressAutoHyphens/>
        <w:jc w:val="center"/>
        <w:rPr>
          <w:rFonts w:asciiTheme="majorHAnsi" w:hAnsiTheme="majorHAnsi"/>
          <w:sz w:val="20"/>
          <w:szCs w:val="20"/>
          <w:lang w:val="pt-BR"/>
        </w:rPr>
      </w:pPr>
    </w:p>
    <w:p w14:paraId="5A2E7E6F" w14:textId="77777777" w:rsidR="00A50FCF" w:rsidRPr="00A321D3" w:rsidRDefault="00A50FCF" w:rsidP="00975184">
      <w:pPr>
        <w:tabs>
          <w:tab w:val="center" w:pos="5400"/>
        </w:tabs>
        <w:suppressAutoHyphens/>
        <w:jc w:val="center"/>
        <w:rPr>
          <w:rFonts w:asciiTheme="majorHAnsi" w:hAnsiTheme="majorHAnsi"/>
          <w:sz w:val="20"/>
          <w:szCs w:val="20"/>
          <w:lang w:val="pt-BR"/>
        </w:rPr>
      </w:pPr>
    </w:p>
    <w:p w14:paraId="44B53C65" w14:textId="77777777" w:rsidR="00A50FCF" w:rsidRPr="00A321D3" w:rsidRDefault="00C0075D" w:rsidP="00975184">
      <w:pPr>
        <w:tabs>
          <w:tab w:val="center" w:pos="5400"/>
        </w:tabs>
        <w:suppressAutoHyphens/>
        <w:jc w:val="center"/>
        <w:rPr>
          <w:rFonts w:asciiTheme="majorHAnsi" w:hAnsiTheme="majorHAnsi"/>
          <w:sz w:val="20"/>
          <w:szCs w:val="20"/>
          <w:lang w:val="pt-BR"/>
        </w:rPr>
      </w:pPr>
      <w:r w:rsidRPr="00A321D3">
        <w:rPr>
          <w:rFonts w:asciiTheme="majorHAnsi" w:hAnsiTheme="majorHAnsi"/>
          <w:noProof/>
          <w:sz w:val="20"/>
          <w:szCs w:val="20"/>
        </w:rPr>
        <mc:AlternateContent>
          <mc:Choice Requires="wps">
            <w:drawing>
              <wp:anchor distT="0" distB="0" distL="114300" distR="114300" simplePos="0" relativeHeight="251678720" behindDoc="0" locked="0" layoutInCell="1" allowOverlap="1" wp14:anchorId="3120DFD8" wp14:editId="55383D54">
                <wp:simplePos x="0" y="0"/>
                <wp:positionH relativeFrom="column">
                  <wp:posOffset>1333500</wp:posOffset>
                </wp:positionH>
                <wp:positionV relativeFrom="paragraph">
                  <wp:posOffset>5715</wp:posOffset>
                </wp:positionV>
                <wp:extent cx="4943475" cy="65722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4BA3C2" w14:textId="7E2538D2" w:rsidR="001050CB" w:rsidRPr="00D21876" w:rsidRDefault="001050CB" w:rsidP="00113F73">
                            <w:pPr>
                              <w:spacing w:line="276" w:lineRule="auto"/>
                              <w:rPr>
                                <w:rFonts w:asciiTheme="majorHAnsi" w:hAnsiTheme="majorHAnsi"/>
                                <w:color w:val="595959" w:themeColor="text1" w:themeTint="A6"/>
                                <w:sz w:val="18"/>
                                <w:szCs w:val="18"/>
                                <w:lang w:val="es-VE"/>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093196">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VE"/>
                              </w:rPr>
                              <w:t>115</w:t>
                            </w:r>
                            <w:r w:rsidRPr="00D21876">
                              <w:rPr>
                                <w:rFonts w:asciiTheme="majorHAnsi" w:hAnsiTheme="majorHAnsi"/>
                                <w:color w:val="595959" w:themeColor="text1" w:themeTint="A6"/>
                                <w:sz w:val="18"/>
                                <w:szCs w:val="18"/>
                                <w:lang w:val="es-VE"/>
                              </w:rPr>
                              <w:t>/1</w:t>
                            </w:r>
                            <w:r>
                              <w:rPr>
                                <w:rFonts w:asciiTheme="majorHAnsi" w:hAnsiTheme="majorHAnsi"/>
                                <w:color w:val="595959" w:themeColor="text1" w:themeTint="A6"/>
                                <w:sz w:val="18"/>
                                <w:szCs w:val="18"/>
                                <w:lang w:val="es-VE"/>
                              </w:rPr>
                              <w:t>8</w:t>
                            </w:r>
                            <w:r w:rsidRPr="00D21876">
                              <w:rPr>
                                <w:rFonts w:asciiTheme="majorHAnsi" w:hAnsiTheme="majorHAnsi"/>
                                <w:color w:val="595959" w:themeColor="text1" w:themeTint="A6"/>
                                <w:sz w:val="18"/>
                                <w:szCs w:val="18"/>
                                <w:lang w:val="es-VE"/>
                              </w:rPr>
                              <w:t>, Caso 12.827</w:t>
                            </w:r>
                          </w:p>
                          <w:p w14:paraId="15D63F91" w14:textId="56591B21" w:rsidR="001050CB" w:rsidRPr="00D21876" w:rsidRDefault="001050CB" w:rsidP="00EB1199">
                            <w:pPr>
                              <w:spacing w:line="276" w:lineRule="auto"/>
                              <w:rPr>
                                <w:rFonts w:asciiTheme="majorHAnsi" w:hAnsiTheme="majorHAnsi"/>
                                <w:color w:val="595959" w:themeColor="text1" w:themeTint="A6"/>
                                <w:sz w:val="18"/>
                                <w:szCs w:val="18"/>
                                <w:lang w:val="es-VE"/>
                              </w:rPr>
                            </w:pPr>
                            <w:r w:rsidRPr="00D21876">
                              <w:rPr>
                                <w:rFonts w:asciiTheme="majorHAnsi" w:hAnsiTheme="majorHAnsi"/>
                                <w:color w:val="595959" w:themeColor="text1" w:themeTint="A6"/>
                                <w:sz w:val="18"/>
                                <w:szCs w:val="18"/>
                                <w:lang w:val="es-VE"/>
                              </w:rPr>
                              <w:t>Fondo. Héctor Fidel Cordero Bernal.</w:t>
                            </w:r>
                            <w:r>
                              <w:rPr>
                                <w:rFonts w:asciiTheme="majorHAnsi" w:hAnsiTheme="majorHAnsi"/>
                                <w:color w:val="595959" w:themeColor="text1" w:themeTint="A6"/>
                                <w:sz w:val="18"/>
                                <w:szCs w:val="18"/>
                                <w:lang w:val="es-VE"/>
                              </w:rPr>
                              <w:t xml:space="preserve"> </w:t>
                            </w:r>
                            <w:r>
                              <w:rPr>
                                <w:rFonts w:asciiTheme="majorHAnsi" w:hAnsiTheme="majorHAnsi"/>
                                <w:color w:val="595959" w:themeColor="text1" w:themeTint="A6"/>
                                <w:sz w:val="18"/>
                                <w:szCs w:val="18"/>
                                <w:lang w:val="pt-BR"/>
                              </w:rPr>
                              <w:t>Perú. 5 de octubre</w:t>
                            </w:r>
                            <w:r w:rsidRPr="00305949">
                              <w:rPr>
                                <w:rFonts w:asciiTheme="majorHAnsi" w:hAnsiTheme="majorHAnsi"/>
                                <w:color w:val="595959" w:themeColor="text1" w:themeTint="A6"/>
                                <w:sz w:val="18"/>
                                <w:szCs w:val="18"/>
                                <w:lang w:val="pt-BR"/>
                              </w:rPr>
                              <w:t xml:space="preserve"> de 201</w:t>
                            </w:r>
                            <w:r>
                              <w:rPr>
                                <w:rFonts w:asciiTheme="majorHAnsi" w:hAnsiTheme="majorHAnsi"/>
                                <w:color w:val="595959" w:themeColor="text1" w:themeTint="A6"/>
                                <w:sz w:val="18"/>
                                <w:szCs w:val="18"/>
                                <w:lang w:val="pt-BR"/>
                              </w:rPr>
                              <w:t>8</w:t>
                            </w:r>
                            <w:r w:rsidRPr="00305949">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14:paraId="694BA3C2" w14:textId="7E2538D2" w:rsidR="001050CB" w:rsidRPr="00D21876" w:rsidRDefault="001050CB" w:rsidP="00113F73">
                      <w:pPr>
                        <w:spacing w:line="276" w:lineRule="auto"/>
                        <w:rPr>
                          <w:rFonts w:asciiTheme="majorHAnsi" w:hAnsiTheme="majorHAnsi"/>
                          <w:color w:val="595959" w:themeColor="text1" w:themeTint="A6"/>
                          <w:sz w:val="18"/>
                          <w:szCs w:val="18"/>
                          <w:lang w:val="es-VE"/>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093196">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VE"/>
                        </w:rPr>
                        <w:t>115</w:t>
                      </w:r>
                      <w:r w:rsidRPr="00D21876">
                        <w:rPr>
                          <w:rFonts w:asciiTheme="majorHAnsi" w:hAnsiTheme="majorHAnsi"/>
                          <w:color w:val="595959" w:themeColor="text1" w:themeTint="A6"/>
                          <w:sz w:val="18"/>
                          <w:szCs w:val="18"/>
                          <w:lang w:val="es-VE"/>
                        </w:rPr>
                        <w:t>/1</w:t>
                      </w:r>
                      <w:r>
                        <w:rPr>
                          <w:rFonts w:asciiTheme="majorHAnsi" w:hAnsiTheme="majorHAnsi"/>
                          <w:color w:val="595959" w:themeColor="text1" w:themeTint="A6"/>
                          <w:sz w:val="18"/>
                          <w:szCs w:val="18"/>
                          <w:lang w:val="es-VE"/>
                        </w:rPr>
                        <w:t>8</w:t>
                      </w:r>
                      <w:r w:rsidRPr="00D21876">
                        <w:rPr>
                          <w:rFonts w:asciiTheme="majorHAnsi" w:hAnsiTheme="majorHAnsi"/>
                          <w:color w:val="595959" w:themeColor="text1" w:themeTint="A6"/>
                          <w:sz w:val="18"/>
                          <w:szCs w:val="18"/>
                          <w:lang w:val="es-VE"/>
                        </w:rPr>
                        <w:t>, Caso 12.827</w:t>
                      </w:r>
                    </w:p>
                    <w:p w14:paraId="15D63F91" w14:textId="56591B21" w:rsidR="001050CB" w:rsidRPr="00D21876" w:rsidRDefault="001050CB" w:rsidP="00EB1199">
                      <w:pPr>
                        <w:spacing w:line="276" w:lineRule="auto"/>
                        <w:rPr>
                          <w:rFonts w:asciiTheme="majorHAnsi" w:hAnsiTheme="majorHAnsi"/>
                          <w:color w:val="595959" w:themeColor="text1" w:themeTint="A6"/>
                          <w:sz w:val="18"/>
                          <w:szCs w:val="18"/>
                          <w:lang w:val="es-VE"/>
                        </w:rPr>
                      </w:pPr>
                      <w:r w:rsidRPr="00D21876">
                        <w:rPr>
                          <w:rFonts w:asciiTheme="majorHAnsi" w:hAnsiTheme="majorHAnsi"/>
                          <w:color w:val="595959" w:themeColor="text1" w:themeTint="A6"/>
                          <w:sz w:val="18"/>
                          <w:szCs w:val="18"/>
                          <w:lang w:val="es-VE"/>
                        </w:rPr>
                        <w:t>Fondo. Héctor Fidel Cordero Bernal.</w:t>
                      </w:r>
                      <w:r>
                        <w:rPr>
                          <w:rFonts w:asciiTheme="majorHAnsi" w:hAnsiTheme="majorHAnsi"/>
                          <w:color w:val="595959" w:themeColor="text1" w:themeTint="A6"/>
                          <w:sz w:val="18"/>
                          <w:szCs w:val="18"/>
                          <w:lang w:val="es-VE"/>
                        </w:rPr>
                        <w:t xml:space="preserve"> </w:t>
                      </w:r>
                      <w:r>
                        <w:rPr>
                          <w:rFonts w:asciiTheme="majorHAnsi" w:hAnsiTheme="majorHAnsi"/>
                          <w:color w:val="595959" w:themeColor="text1" w:themeTint="A6"/>
                          <w:sz w:val="18"/>
                          <w:szCs w:val="18"/>
                          <w:lang w:val="pt-BR"/>
                        </w:rPr>
                        <w:t>Perú. 5 de octubre</w:t>
                      </w:r>
                      <w:r w:rsidRPr="00305949">
                        <w:rPr>
                          <w:rFonts w:asciiTheme="majorHAnsi" w:hAnsiTheme="majorHAnsi"/>
                          <w:color w:val="595959" w:themeColor="text1" w:themeTint="A6"/>
                          <w:sz w:val="18"/>
                          <w:szCs w:val="18"/>
                          <w:lang w:val="pt-BR"/>
                        </w:rPr>
                        <w:t xml:space="preserve"> de 201</w:t>
                      </w:r>
                      <w:r>
                        <w:rPr>
                          <w:rFonts w:asciiTheme="majorHAnsi" w:hAnsiTheme="majorHAnsi"/>
                          <w:color w:val="595959" w:themeColor="text1" w:themeTint="A6"/>
                          <w:sz w:val="18"/>
                          <w:szCs w:val="18"/>
                          <w:lang w:val="pt-BR"/>
                        </w:rPr>
                        <w:t>8</w:t>
                      </w:r>
                      <w:r w:rsidRPr="00305949">
                        <w:rPr>
                          <w:rFonts w:asciiTheme="majorHAnsi" w:hAnsiTheme="majorHAnsi"/>
                          <w:color w:val="595959" w:themeColor="text1" w:themeTint="A6"/>
                          <w:sz w:val="18"/>
                          <w:szCs w:val="18"/>
                          <w:lang w:val="pt-BR"/>
                        </w:rPr>
                        <w:t>.</w:t>
                      </w:r>
                    </w:p>
                  </w:txbxContent>
                </v:textbox>
              </v:shape>
            </w:pict>
          </mc:Fallback>
        </mc:AlternateContent>
      </w:r>
    </w:p>
    <w:p w14:paraId="77DAC0E2" w14:textId="77777777" w:rsidR="00A50FCF" w:rsidRPr="00A321D3" w:rsidRDefault="00A50FCF" w:rsidP="00975184">
      <w:pPr>
        <w:tabs>
          <w:tab w:val="center" w:pos="5400"/>
        </w:tabs>
        <w:suppressAutoHyphens/>
        <w:jc w:val="center"/>
        <w:rPr>
          <w:rFonts w:asciiTheme="majorHAnsi" w:hAnsiTheme="majorHAnsi"/>
          <w:sz w:val="20"/>
          <w:szCs w:val="20"/>
          <w:lang w:val="pt-BR"/>
        </w:rPr>
      </w:pPr>
    </w:p>
    <w:p w14:paraId="1E26A846" w14:textId="77777777" w:rsidR="0090270B" w:rsidRPr="00A321D3" w:rsidRDefault="00C0075D" w:rsidP="00975184">
      <w:pPr>
        <w:tabs>
          <w:tab w:val="center" w:pos="5400"/>
        </w:tabs>
        <w:suppressAutoHyphens/>
        <w:jc w:val="center"/>
        <w:rPr>
          <w:rFonts w:asciiTheme="majorHAnsi" w:hAnsiTheme="majorHAnsi"/>
          <w:b/>
          <w:sz w:val="20"/>
          <w:szCs w:val="20"/>
          <w:lang w:val="pt-BR"/>
        </w:rPr>
      </w:pPr>
      <w:r w:rsidRPr="00A321D3">
        <w:rPr>
          <w:rFonts w:asciiTheme="majorHAnsi" w:hAnsiTheme="majorHAnsi"/>
          <w:noProof/>
          <w:sz w:val="20"/>
          <w:szCs w:val="20"/>
        </w:rPr>
        <mc:AlternateContent>
          <mc:Choice Requires="wps">
            <w:drawing>
              <wp:anchor distT="0" distB="0" distL="114300" distR="114300" simplePos="0" relativeHeight="251680768" behindDoc="0" locked="0" layoutInCell="1" allowOverlap="1" wp14:anchorId="6995B3E1" wp14:editId="2F229BF3">
                <wp:simplePos x="0" y="0"/>
                <wp:positionH relativeFrom="column">
                  <wp:posOffset>1329690</wp:posOffset>
                </wp:positionH>
                <wp:positionV relativeFrom="paragraph">
                  <wp:posOffset>638810</wp:posOffset>
                </wp:positionV>
                <wp:extent cx="4096385" cy="5670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E1D176" w14:textId="77777777" w:rsidR="001050CB" w:rsidRPr="00D72DC6" w:rsidRDefault="001050CB" w:rsidP="00F02AD1">
                            <w:pPr>
                              <w:rPr>
                                <w:color w:val="FFFFFF" w:themeColor="background1"/>
                              </w:rPr>
                            </w:pPr>
                            <w:r w:rsidRPr="00D72DC6">
                              <w:rPr>
                                <w:noProof/>
                                <w:color w:val="FFFFFF" w:themeColor="background1"/>
                              </w:rPr>
                              <w:drawing>
                                <wp:inline distT="0" distB="0" distL="0" distR="0" wp14:anchorId="23871DF6" wp14:editId="1195205D">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" fillcolor="white [3201]" stroked="f" strokeweight=".5pt">
                <v:path arrowok="t"/>
                <v:textbox>
                  <w:txbxContent>
                    <w:p w14:paraId="68E1D176" w14:textId="77777777" w:rsidR="001050CB" w:rsidRPr="00D72DC6" w:rsidRDefault="001050CB" w:rsidP="00F02AD1">
                      <w:pPr>
                        <w:rPr>
                          <w:color w:val="FFFFFF" w:themeColor="background1"/>
                        </w:rPr>
                      </w:pPr>
                      <w:r w:rsidRPr="00D72DC6">
                        <w:rPr>
                          <w:noProof/>
                          <w:color w:val="FFFFFF" w:themeColor="background1"/>
                        </w:rPr>
                        <w:drawing>
                          <wp:inline distT="0" distB="0" distL="0" distR="0" wp14:anchorId="23871DF6" wp14:editId="1195205D">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A321D3">
        <w:rPr>
          <w:rFonts w:asciiTheme="majorHAnsi" w:hAnsiTheme="majorHAnsi"/>
          <w:noProof/>
          <w:sz w:val="20"/>
          <w:szCs w:val="20"/>
        </w:rPr>
        <mc:AlternateContent>
          <mc:Choice Requires="wps">
            <w:drawing>
              <wp:anchor distT="0" distB="0" distL="114300" distR="114300" simplePos="0" relativeHeight="251682816" behindDoc="0" locked="0" layoutInCell="1" allowOverlap="1" wp14:anchorId="5DC5919E" wp14:editId="7F703A27">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5D3F7" w14:textId="77777777" w:rsidR="001050CB" w:rsidRPr="004B7EB6" w:rsidRDefault="001050C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IcG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" filled="f" stroked="f" strokeweight=".5pt">
                <v:path arrowok="t"/>
                <v:textbox>
                  <w:txbxContent>
                    <w:p w14:paraId="0275D3F7" w14:textId="77777777" w:rsidR="001050CB" w:rsidRPr="004B7EB6" w:rsidRDefault="001050C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C1236CF" w14:textId="77777777" w:rsidR="0070697F" w:rsidRPr="00A321D3" w:rsidRDefault="0070697F" w:rsidP="00975184">
      <w:pPr>
        <w:tabs>
          <w:tab w:val="center" w:pos="5400"/>
        </w:tabs>
        <w:suppressAutoHyphens/>
        <w:jc w:val="center"/>
        <w:rPr>
          <w:rFonts w:asciiTheme="majorHAnsi" w:hAnsiTheme="majorHAnsi"/>
          <w:b/>
          <w:sz w:val="20"/>
          <w:szCs w:val="20"/>
          <w:lang w:val="pt-BR"/>
        </w:rPr>
        <w:sectPr w:rsidR="0070697F" w:rsidRPr="00A321D3"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14:paraId="71CD7192" w14:textId="1147660E" w:rsidR="004B316C" w:rsidRPr="00A321D3" w:rsidRDefault="004B5EFB" w:rsidP="00975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pt-BR"/>
        </w:rPr>
      </w:pPr>
      <w:r>
        <w:rPr>
          <w:rFonts w:asciiTheme="majorHAnsi" w:eastAsia="Times New Roman" w:hAnsiTheme="majorHAnsi"/>
          <w:b/>
          <w:sz w:val="20"/>
          <w:szCs w:val="20"/>
          <w:bdr w:val="none" w:sz="0" w:space="0" w:color="auto"/>
          <w:lang w:val="pt-BR"/>
        </w:rPr>
        <w:lastRenderedPageBreak/>
        <w:t>INFORME No. 115</w:t>
      </w:r>
      <w:r w:rsidR="00305949" w:rsidRPr="00A321D3">
        <w:rPr>
          <w:rFonts w:asciiTheme="majorHAnsi" w:eastAsia="Times New Roman" w:hAnsiTheme="majorHAnsi"/>
          <w:b/>
          <w:sz w:val="20"/>
          <w:szCs w:val="20"/>
          <w:bdr w:val="none" w:sz="0" w:space="0" w:color="auto"/>
          <w:lang w:val="pt-BR"/>
        </w:rPr>
        <w:t>/1</w:t>
      </w:r>
      <w:r w:rsidR="00312E6D">
        <w:rPr>
          <w:rFonts w:asciiTheme="majorHAnsi" w:eastAsia="Times New Roman" w:hAnsiTheme="majorHAnsi"/>
          <w:b/>
          <w:sz w:val="20"/>
          <w:szCs w:val="20"/>
          <w:bdr w:val="none" w:sz="0" w:space="0" w:color="auto"/>
          <w:lang w:val="pt-BR"/>
        </w:rPr>
        <w:t>8</w:t>
      </w:r>
    </w:p>
    <w:p w14:paraId="718AEE17" w14:textId="77777777" w:rsidR="004B316C" w:rsidRPr="004B5EFB" w:rsidRDefault="00D21876" w:rsidP="00975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VE"/>
        </w:rPr>
      </w:pPr>
      <w:r w:rsidRPr="004B5EFB">
        <w:rPr>
          <w:rFonts w:asciiTheme="majorHAnsi" w:eastAsia="Times New Roman" w:hAnsiTheme="majorHAnsi"/>
          <w:b/>
          <w:sz w:val="20"/>
          <w:szCs w:val="20"/>
          <w:bdr w:val="none" w:sz="0" w:space="0" w:color="auto"/>
          <w:lang w:val="es-VE"/>
        </w:rPr>
        <w:t>CASO 12.827</w:t>
      </w:r>
    </w:p>
    <w:p w14:paraId="79DCD287" w14:textId="77777777" w:rsidR="004B316C" w:rsidRPr="004B5EFB" w:rsidRDefault="004B316C" w:rsidP="00975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sidRPr="004B5EFB">
        <w:rPr>
          <w:rFonts w:asciiTheme="majorHAnsi" w:eastAsia="Times New Roman" w:hAnsiTheme="majorHAnsi"/>
          <w:sz w:val="20"/>
          <w:szCs w:val="20"/>
          <w:bdr w:val="none" w:sz="0" w:space="0" w:color="auto"/>
          <w:lang w:val="es-VE"/>
        </w:rPr>
        <w:t>FONDO</w:t>
      </w:r>
    </w:p>
    <w:p w14:paraId="27856DB8" w14:textId="77777777" w:rsidR="00B06C1C" w:rsidRPr="004B5EFB" w:rsidRDefault="00D21876" w:rsidP="00975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sidRPr="004B5EFB">
        <w:rPr>
          <w:rFonts w:asciiTheme="majorHAnsi" w:eastAsia="Times New Roman" w:hAnsiTheme="majorHAnsi"/>
          <w:sz w:val="20"/>
          <w:szCs w:val="20"/>
          <w:bdr w:val="none" w:sz="0" w:space="0" w:color="auto"/>
          <w:lang w:val="es-VE"/>
        </w:rPr>
        <w:t>HÉCTOR FIDEL CORDERO BERNAL</w:t>
      </w:r>
    </w:p>
    <w:p w14:paraId="44CEFC3E" w14:textId="77777777" w:rsidR="00B06C1C" w:rsidRPr="00A321D3" w:rsidRDefault="00D21876" w:rsidP="00975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sidRPr="00A321D3">
        <w:rPr>
          <w:rFonts w:asciiTheme="majorHAnsi" w:eastAsia="Times New Roman" w:hAnsiTheme="majorHAnsi"/>
          <w:sz w:val="20"/>
          <w:szCs w:val="20"/>
          <w:bdr w:val="none" w:sz="0" w:space="0" w:color="auto"/>
          <w:lang w:val="es-VE"/>
        </w:rPr>
        <w:t>PERÚ</w:t>
      </w:r>
    </w:p>
    <w:p w14:paraId="53AFAC8A" w14:textId="5BF7179A" w:rsidR="0073741F" w:rsidRPr="00A321D3" w:rsidRDefault="004B5EFB" w:rsidP="00975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Pr>
          <w:rFonts w:asciiTheme="majorHAnsi" w:eastAsia="Times New Roman" w:hAnsiTheme="majorHAnsi"/>
          <w:sz w:val="20"/>
          <w:szCs w:val="20"/>
          <w:bdr w:val="none" w:sz="0" w:space="0" w:color="auto"/>
          <w:lang w:val="es-VE"/>
        </w:rPr>
        <w:t>5 DE OCTUBRE</w:t>
      </w:r>
      <w:r w:rsidR="00713F6D" w:rsidRPr="00A321D3">
        <w:rPr>
          <w:rFonts w:asciiTheme="majorHAnsi" w:eastAsia="Times New Roman" w:hAnsiTheme="majorHAnsi"/>
          <w:sz w:val="20"/>
          <w:szCs w:val="20"/>
          <w:bdr w:val="none" w:sz="0" w:space="0" w:color="auto"/>
          <w:lang w:val="es-VE"/>
        </w:rPr>
        <w:t xml:space="preserve"> </w:t>
      </w:r>
      <w:r w:rsidR="00F674F4" w:rsidRPr="00A321D3">
        <w:rPr>
          <w:rFonts w:asciiTheme="majorHAnsi" w:eastAsia="Times New Roman" w:hAnsiTheme="majorHAnsi"/>
          <w:sz w:val="20"/>
          <w:szCs w:val="20"/>
          <w:bdr w:val="none" w:sz="0" w:space="0" w:color="auto"/>
          <w:lang w:val="es-VE"/>
        </w:rPr>
        <w:t>DE 201</w:t>
      </w:r>
      <w:r w:rsidR="00312E6D">
        <w:rPr>
          <w:rFonts w:asciiTheme="majorHAnsi" w:eastAsia="Times New Roman" w:hAnsiTheme="majorHAnsi"/>
          <w:sz w:val="20"/>
          <w:szCs w:val="20"/>
          <w:bdr w:val="none" w:sz="0" w:space="0" w:color="auto"/>
          <w:lang w:val="es-VE"/>
        </w:rPr>
        <w:t>8</w:t>
      </w:r>
    </w:p>
    <w:p w14:paraId="157B180E" w14:textId="77777777" w:rsidR="004B316C" w:rsidRPr="00A321D3" w:rsidRDefault="004B316C" w:rsidP="00975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hAnsiTheme="majorHAnsi"/>
          <w:sz w:val="20"/>
          <w:szCs w:val="20"/>
          <w:lang w:val="es-VE"/>
        </w:rPr>
      </w:pPr>
    </w:p>
    <w:p w14:paraId="2E569679" w14:textId="77777777" w:rsidR="0070697F" w:rsidRPr="00A321D3" w:rsidRDefault="00AA09A2" w:rsidP="00975184">
      <w:pPr>
        <w:tabs>
          <w:tab w:val="center" w:pos="5400"/>
        </w:tabs>
        <w:suppressAutoHyphens/>
        <w:jc w:val="center"/>
        <w:rPr>
          <w:rFonts w:asciiTheme="majorHAnsi" w:hAnsiTheme="majorHAnsi"/>
          <w:b/>
          <w:sz w:val="20"/>
          <w:szCs w:val="20"/>
          <w:lang w:val="es-ES_tradnl"/>
        </w:rPr>
      </w:pPr>
      <w:r w:rsidRPr="00A321D3">
        <w:rPr>
          <w:rFonts w:asciiTheme="majorHAnsi" w:hAnsiTheme="majorHAnsi"/>
          <w:b/>
          <w:sz w:val="20"/>
          <w:szCs w:val="20"/>
          <w:lang w:val="es-ES_tradnl"/>
        </w:rPr>
        <w:t>Í</w:t>
      </w:r>
      <w:r w:rsidR="00DC7023" w:rsidRPr="00A321D3">
        <w:rPr>
          <w:rFonts w:asciiTheme="majorHAnsi" w:hAnsiTheme="majorHAnsi"/>
          <w:b/>
          <w:sz w:val="20"/>
          <w:szCs w:val="20"/>
          <w:lang w:val="es-ES_tradnl"/>
        </w:rPr>
        <w:t>NDICE</w:t>
      </w:r>
    </w:p>
    <w:sdt>
      <w:sdtPr>
        <w:rPr>
          <w:rFonts w:ascii="Times New Roman" w:eastAsia="Arial Unicode MS" w:hAnsi="Times New Roman" w:cs="Times New Roman"/>
          <w:b w:val="0"/>
          <w:bCs w:val="0"/>
          <w:color w:val="auto"/>
          <w:sz w:val="20"/>
          <w:szCs w:val="20"/>
          <w:bdr w:val="nil"/>
          <w:lang w:eastAsia="en-US"/>
        </w:rPr>
        <w:id w:val="-1539117892"/>
        <w:docPartObj>
          <w:docPartGallery w:val="Table of Contents"/>
          <w:docPartUnique/>
        </w:docPartObj>
      </w:sdtPr>
      <w:sdtEndPr>
        <w:rPr>
          <w:noProof/>
        </w:rPr>
      </w:sdtEndPr>
      <w:sdtContent>
        <w:p w14:paraId="4AD75B13" w14:textId="77777777" w:rsidR="002E4C22" w:rsidRPr="00A321D3" w:rsidRDefault="002E4C22" w:rsidP="00975184">
          <w:pPr>
            <w:pStyle w:val="TOCHeading"/>
            <w:spacing w:before="0" w:line="240" w:lineRule="auto"/>
            <w:rPr>
              <w:sz w:val="20"/>
              <w:szCs w:val="20"/>
            </w:rPr>
          </w:pPr>
        </w:p>
        <w:p w14:paraId="69E1C741" w14:textId="088B676E" w:rsidR="00344974" w:rsidRPr="00344974" w:rsidRDefault="002E4C22">
          <w:pPr>
            <w:pStyle w:val="TOC1"/>
            <w:rPr>
              <w:rFonts w:eastAsiaTheme="minorEastAsia" w:cstheme="minorBidi"/>
              <w:b w:val="0"/>
              <w:bdr w:val="none" w:sz="0" w:space="0" w:color="auto"/>
            </w:rPr>
          </w:pPr>
          <w:r w:rsidRPr="00A321D3">
            <w:fldChar w:fldCharType="begin"/>
          </w:r>
          <w:r w:rsidRPr="00A321D3">
            <w:instrText xml:space="preserve"> TOC \o "1-3" \h \z \u </w:instrText>
          </w:r>
          <w:r w:rsidRPr="00A321D3">
            <w:fldChar w:fldCharType="separate"/>
          </w:r>
          <w:hyperlink w:anchor="_Toc514247632" w:history="1">
            <w:r w:rsidR="00344974" w:rsidRPr="00344974">
              <w:rPr>
                <w:rStyle w:val="Hyperlink"/>
                <w:rFonts w:eastAsiaTheme="majorEastAsia"/>
                <w:bCs/>
                <w:lang w:val="es-VE"/>
              </w:rPr>
              <w:t>I.</w:t>
            </w:r>
            <w:r w:rsidR="00344974" w:rsidRPr="00344974">
              <w:rPr>
                <w:rFonts w:eastAsiaTheme="minorEastAsia" w:cstheme="minorBidi"/>
                <w:b w:val="0"/>
                <w:bdr w:val="none" w:sz="0" w:space="0" w:color="auto"/>
              </w:rPr>
              <w:tab/>
            </w:r>
            <w:r w:rsidR="00344974" w:rsidRPr="00344974">
              <w:rPr>
                <w:rStyle w:val="Hyperlink"/>
                <w:rFonts w:eastAsiaTheme="majorEastAsia" w:cstheme="majorBidi"/>
                <w:bCs/>
                <w:lang w:val="es-VE"/>
              </w:rPr>
              <w:t>RESUMEN</w:t>
            </w:r>
            <w:r w:rsidR="00344974" w:rsidRPr="00344974">
              <w:rPr>
                <w:webHidden/>
              </w:rPr>
              <w:tab/>
            </w:r>
            <w:r w:rsidR="00344974" w:rsidRPr="00344974">
              <w:rPr>
                <w:webHidden/>
              </w:rPr>
              <w:fldChar w:fldCharType="begin"/>
            </w:r>
            <w:r w:rsidR="00344974" w:rsidRPr="00344974">
              <w:rPr>
                <w:webHidden/>
              </w:rPr>
              <w:instrText xml:space="preserve"> PAGEREF _Toc514247632 \h </w:instrText>
            </w:r>
            <w:r w:rsidR="00344974" w:rsidRPr="00344974">
              <w:rPr>
                <w:webHidden/>
              </w:rPr>
            </w:r>
            <w:r w:rsidR="00344974" w:rsidRPr="00344974">
              <w:rPr>
                <w:webHidden/>
              </w:rPr>
              <w:fldChar w:fldCharType="separate"/>
            </w:r>
            <w:r w:rsidR="00E11E8B">
              <w:rPr>
                <w:webHidden/>
              </w:rPr>
              <w:t>2</w:t>
            </w:r>
            <w:r w:rsidR="00344974" w:rsidRPr="00344974">
              <w:rPr>
                <w:webHidden/>
              </w:rPr>
              <w:fldChar w:fldCharType="end"/>
            </w:r>
          </w:hyperlink>
        </w:p>
        <w:p w14:paraId="15A6084B" w14:textId="07E59615" w:rsidR="00344974" w:rsidRPr="00344974" w:rsidRDefault="00991432">
          <w:pPr>
            <w:pStyle w:val="TOC1"/>
            <w:rPr>
              <w:rFonts w:eastAsiaTheme="minorEastAsia" w:cstheme="minorBidi"/>
              <w:b w:val="0"/>
              <w:bdr w:val="none" w:sz="0" w:space="0" w:color="auto"/>
            </w:rPr>
          </w:pPr>
          <w:hyperlink w:anchor="_Toc514247633" w:history="1">
            <w:r w:rsidR="00344974" w:rsidRPr="00344974">
              <w:rPr>
                <w:rStyle w:val="Hyperlink"/>
              </w:rPr>
              <w:t>II.</w:t>
            </w:r>
            <w:r w:rsidR="00344974" w:rsidRPr="00344974">
              <w:rPr>
                <w:rFonts w:eastAsiaTheme="minorEastAsia" w:cstheme="minorBidi"/>
                <w:b w:val="0"/>
                <w:bdr w:val="none" w:sz="0" w:space="0" w:color="auto"/>
              </w:rPr>
              <w:tab/>
            </w:r>
            <w:r w:rsidR="00344974" w:rsidRPr="00344974">
              <w:rPr>
                <w:rStyle w:val="Hyperlink"/>
              </w:rPr>
              <w:t>ALEGATOS DE LAS PARTES</w:t>
            </w:r>
            <w:r w:rsidR="00344974" w:rsidRPr="00344974">
              <w:rPr>
                <w:webHidden/>
              </w:rPr>
              <w:tab/>
            </w:r>
            <w:r w:rsidR="00344974" w:rsidRPr="00344974">
              <w:rPr>
                <w:webHidden/>
              </w:rPr>
              <w:fldChar w:fldCharType="begin"/>
            </w:r>
            <w:r w:rsidR="00344974" w:rsidRPr="00344974">
              <w:rPr>
                <w:webHidden/>
              </w:rPr>
              <w:instrText xml:space="preserve"> PAGEREF _Toc514247633 \h </w:instrText>
            </w:r>
            <w:r w:rsidR="00344974" w:rsidRPr="00344974">
              <w:rPr>
                <w:webHidden/>
              </w:rPr>
            </w:r>
            <w:r w:rsidR="00344974" w:rsidRPr="00344974">
              <w:rPr>
                <w:webHidden/>
              </w:rPr>
              <w:fldChar w:fldCharType="separate"/>
            </w:r>
            <w:r w:rsidR="00E11E8B">
              <w:rPr>
                <w:webHidden/>
              </w:rPr>
              <w:t>2</w:t>
            </w:r>
            <w:r w:rsidR="00344974" w:rsidRPr="00344974">
              <w:rPr>
                <w:webHidden/>
              </w:rPr>
              <w:fldChar w:fldCharType="end"/>
            </w:r>
          </w:hyperlink>
        </w:p>
        <w:p w14:paraId="1D98EC81" w14:textId="66E41A29" w:rsidR="00344974" w:rsidRPr="00344974" w:rsidRDefault="00991432">
          <w:pPr>
            <w:pStyle w:val="TOC2"/>
            <w:rPr>
              <w:rFonts w:asciiTheme="majorHAnsi" w:eastAsiaTheme="minorEastAsia" w:hAnsiTheme="majorHAnsi" w:cstheme="minorBidi"/>
              <w:noProof/>
              <w:sz w:val="20"/>
              <w:szCs w:val="20"/>
              <w:bdr w:val="none" w:sz="0" w:space="0" w:color="auto"/>
            </w:rPr>
          </w:pPr>
          <w:hyperlink w:anchor="_Toc514247634" w:history="1">
            <w:r w:rsidR="00344974" w:rsidRPr="00344974">
              <w:rPr>
                <w:rStyle w:val="Hyperlink"/>
                <w:rFonts w:asciiTheme="majorHAnsi" w:hAnsiTheme="majorHAnsi"/>
                <w:noProof/>
                <w:sz w:val="20"/>
                <w:szCs w:val="20"/>
              </w:rPr>
              <w:t>A.</w:t>
            </w:r>
            <w:r w:rsidR="00344974" w:rsidRPr="00344974">
              <w:rPr>
                <w:rFonts w:asciiTheme="majorHAnsi" w:eastAsiaTheme="minorEastAsia" w:hAnsiTheme="majorHAnsi" w:cstheme="minorBidi"/>
                <w:noProof/>
                <w:sz w:val="20"/>
                <w:szCs w:val="20"/>
                <w:bdr w:val="none" w:sz="0" w:space="0" w:color="auto"/>
              </w:rPr>
              <w:tab/>
            </w:r>
            <w:r w:rsidR="00344974" w:rsidRPr="00344974">
              <w:rPr>
                <w:rStyle w:val="Hyperlink"/>
                <w:rFonts w:asciiTheme="majorHAnsi" w:hAnsiTheme="majorHAnsi"/>
                <w:noProof/>
                <w:sz w:val="20"/>
                <w:szCs w:val="20"/>
              </w:rPr>
              <w:t>Parte peticionaria</w:t>
            </w:r>
            <w:r w:rsidR="00344974" w:rsidRPr="00344974">
              <w:rPr>
                <w:rFonts w:asciiTheme="majorHAnsi" w:hAnsiTheme="majorHAnsi"/>
                <w:noProof/>
                <w:webHidden/>
                <w:sz w:val="20"/>
                <w:szCs w:val="20"/>
              </w:rPr>
              <w:tab/>
            </w:r>
            <w:r w:rsidR="00344974" w:rsidRPr="00344974">
              <w:rPr>
                <w:rFonts w:asciiTheme="majorHAnsi" w:hAnsiTheme="majorHAnsi"/>
                <w:noProof/>
                <w:webHidden/>
                <w:sz w:val="20"/>
                <w:szCs w:val="20"/>
              </w:rPr>
              <w:fldChar w:fldCharType="begin"/>
            </w:r>
            <w:r w:rsidR="00344974" w:rsidRPr="00344974">
              <w:rPr>
                <w:rFonts w:asciiTheme="majorHAnsi" w:hAnsiTheme="majorHAnsi"/>
                <w:noProof/>
                <w:webHidden/>
                <w:sz w:val="20"/>
                <w:szCs w:val="20"/>
              </w:rPr>
              <w:instrText xml:space="preserve"> PAGEREF _Toc514247634 \h </w:instrText>
            </w:r>
            <w:r w:rsidR="00344974" w:rsidRPr="00344974">
              <w:rPr>
                <w:rFonts w:asciiTheme="majorHAnsi" w:hAnsiTheme="majorHAnsi"/>
                <w:noProof/>
                <w:webHidden/>
                <w:sz w:val="20"/>
                <w:szCs w:val="20"/>
              </w:rPr>
            </w:r>
            <w:r w:rsidR="00344974" w:rsidRPr="00344974">
              <w:rPr>
                <w:rFonts w:asciiTheme="majorHAnsi" w:hAnsiTheme="majorHAnsi"/>
                <w:noProof/>
                <w:webHidden/>
                <w:sz w:val="20"/>
                <w:szCs w:val="20"/>
              </w:rPr>
              <w:fldChar w:fldCharType="separate"/>
            </w:r>
            <w:r w:rsidR="00E11E8B">
              <w:rPr>
                <w:rFonts w:asciiTheme="majorHAnsi" w:hAnsiTheme="majorHAnsi"/>
                <w:noProof/>
                <w:webHidden/>
                <w:sz w:val="20"/>
                <w:szCs w:val="20"/>
              </w:rPr>
              <w:t>2</w:t>
            </w:r>
            <w:r w:rsidR="00344974" w:rsidRPr="00344974">
              <w:rPr>
                <w:rFonts w:asciiTheme="majorHAnsi" w:hAnsiTheme="majorHAnsi"/>
                <w:noProof/>
                <w:webHidden/>
                <w:sz w:val="20"/>
                <w:szCs w:val="20"/>
              </w:rPr>
              <w:fldChar w:fldCharType="end"/>
            </w:r>
          </w:hyperlink>
        </w:p>
        <w:p w14:paraId="0EB5E0BD" w14:textId="5B43F47D" w:rsidR="00344974" w:rsidRPr="00344974" w:rsidRDefault="00991432">
          <w:pPr>
            <w:pStyle w:val="TOC2"/>
            <w:rPr>
              <w:rFonts w:asciiTheme="majorHAnsi" w:eastAsiaTheme="minorEastAsia" w:hAnsiTheme="majorHAnsi" w:cstheme="minorBidi"/>
              <w:noProof/>
              <w:sz w:val="20"/>
              <w:szCs w:val="20"/>
              <w:bdr w:val="none" w:sz="0" w:space="0" w:color="auto"/>
            </w:rPr>
          </w:pPr>
          <w:hyperlink w:anchor="_Toc514247635" w:history="1">
            <w:r w:rsidR="00344974" w:rsidRPr="00344974">
              <w:rPr>
                <w:rStyle w:val="Hyperlink"/>
                <w:rFonts w:asciiTheme="majorHAnsi" w:hAnsiTheme="majorHAnsi"/>
                <w:noProof/>
                <w:sz w:val="20"/>
                <w:szCs w:val="20"/>
              </w:rPr>
              <w:t>B.</w:t>
            </w:r>
            <w:r w:rsidR="00344974" w:rsidRPr="00344974">
              <w:rPr>
                <w:rFonts w:asciiTheme="majorHAnsi" w:eastAsiaTheme="minorEastAsia" w:hAnsiTheme="majorHAnsi" w:cstheme="minorBidi"/>
                <w:noProof/>
                <w:sz w:val="20"/>
                <w:szCs w:val="20"/>
                <w:bdr w:val="none" w:sz="0" w:space="0" w:color="auto"/>
              </w:rPr>
              <w:tab/>
            </w:r>
            <w:r w:rsidR="00344974" w:rsidRPr="00344974">
              <w:rPr>
                <w:rStyle w:val="Hyperlink"/>
                <w:rFonts w:asciiTheme="majorHAnsi" w:hAnsiTheme="majorHAnsi"/>
                <w:noProof/>
                <w:sz w:val="20"/>
                <w:szCs w:val="20"/>
              </w:rPr>
              <w:t>Estado</w:t>
            </w:r>
            <w:r w:rsidR="00344974" w:rsidRPr="00344974">
              <w:rPr>
                <w:rFonts w:asciiTheme="majorHAnsi" w:hAnsiTheme="majorHAnsi"/>
                <w:noProof/>
                <w:webHidden/>
                <w:sz w:val="20"/>
                <w:szCs w:val="20"/>
              </w:rPr>
              <w:tab/>
            </w:r>
            <w:r w:rsidR="00344974" w:rsidRPr="00344974">
              <w:rPr>
                <w:rFonts w:asciiTheme="majorHAnsi" w:hAnsiTheme="majorHAnsi"/>
                <w:noProof/>
                <w:webHidden/>
                <w:sz w:val="20"/>
                <w:szCs w:val="20"/>
              </w:rPr>
              <w:fldChar w:fldCharType="begin"/>
            </w:r>
            <w:r w:rsidR="00344974" w:rsidRPr="00344974">
              <w:rPr>
                <w:rFonts w:asciiTheme="majorHAnsi" w:hAnsiTheme="majorHAnsi"/>
                <w:noProof/>
                <w:webHidden/>
                <w:sz w:val="20"/>
                <w:szCs w:val="20"/>
              </w:rPr>
              <w:instrText xml:space="preserve"> PAGEREF _Toc514247635 \h </w:instrText>
            </w:r>
            <w:r w:rsidR="00344974" w:rsidRPr="00344974">
              <w:rPr>
                <w:rFonts w:asciiTheme="majorHAnsi" w:hAnsiTheme="majorHAnsi"/>
                <w:noProof/>
                <w:webHidden/>
                <w:sz w:val="20"/>
                <w:szCs w:val="20"/>
              </w:rPr>
            </w:r>
            <w:r w:rsidR="00344974" w:rsidRPr="00344974">
              <w:rPr>
                <w:rFonts w:asciiTheme="majorHAnsi" w:hAnsiTheme="majorHAnsi"/>
                <w:noProof/>
                <w:webHidden/>
                <w:sz w:val="20"/>
                <w:szCs w:val="20"/>
              </w:rPr>
              <w:fldChar w:fldCharType="separate"/>
            </w:r>
            <w:r w:rsidR="00E11E8B">
              <w:rPr>
                <w:rFonts w:asciiTheme="majorHAnsi" w:hAnsiTheme="majorHAnsi"/>
                <w:noProof/>
                <w:webHidden/>
                <w:sz w:val="20"/>
                <w:szCs w:val="20"/>
              </w:rPr>
              <w:t>3</w:t>
            </w:r>
            <w:r w:rsidR="00344974" w:rsidRPr="00344974">
              <w:rPr>
                <w:rFonts w:asciiTheme="majorHAnsi" w:hAnsiTheme="majorHAnsi"/>
                <w:noProof/>
                <w:webHidden/>
                <w:sz w:val="20"/>
                <w:szCs w:val="20"/>
              </w:rPr>
              <w:fldChar w:fldCharType="end"/>
            </w:r>
          </w:hyperlink>
        </w:p>
        <w:p w14:paraId="727B7E43" w14:textId="09EC0738" w:rsidR="00344974" w:rsidRPr="00344974" w:rsidRDefault="00991432">
          <w:pPr>
            <w:pStyle w:val="TOC1"/>
            <w:rPr>
              <w:rFonts w:eastAsiaTheme="minorEastAsia" w:cstheme="minorBidi"/>
              <w:b w:val="0"/>
              <w:bdr w:val="none" w:sz="0" w:space="0" w:color="auto"/>
            </w:rPr>
          </w:pPr>
          <w:hyperlink w:anchor="_Toc514247636" w:history="1">
            <w:r w:rsidR="00344974" w:rsidRPr="00344974">
              <w:rPr>
                <w:rStyle w:val="Hyperlink"/>
              </w:rPr>
              <w:t>III.</w:t>
            </w:r>
            <w:r w:rsidR="00344974" w:rsidRPr="00344974">
              <w:rPr>
                <w:rFonts w:eastAsiaTheme="minorEastAsia" w:cstheme="minorBidi"/>
                <w:b w:val="0"/>
                <w:bdr w:val="none" w:sz="0" w:space="0" w:color="auto"/>
              </w:rPr>
              <w:tab/>
            </w:r>
            <w:r w:rsidR="00344974" w:rsidRPr="00344974">
              <w:rPr>
                <w:rStyle w:val="Hyperlink"/>
              </w:rPr>
              <w:t>HECHOS PROBADOS</w:t>
            </w:r>
            <w:r w:rsidR="00344974" w:rsidRPr="00344974">
              <w:rPr>
                <w:webHidden/>
              </w:rPr>
              <w:tab/>
            </w:r>
            <w:r w:rsidR="00344974" w:rsidRPr="00344974">
              <w:rPr>
                <w:webHidden/>
              </w:rPr>
              <w:fldChar w:fldCharType="begin"/>
            </w:r>
            <w:r w:rsidR="00344974" w:rsidRPr="00344974">
              <w:rPr>
                <w:webHidden/>
              </w:rPr>
              <w:instrText xml:space="preserve"> PAGEREF _Toc514247636 \h </w:instrText>
            </w:r>
            <w:r w:rsidR="00344974" w:rsidRPr="00344974">
              <w:rPr>
                <w:webHidden/>
              </w:rPr>
            </w:r>
            <w:r w:rsidR="00344974" w:rsidRPr="00344974">
              <w:rPr>
                <w:webHidden/>
              </w:rPr>
              <w:fldChar w:fldCharType="separate"/>
            </w:r>
            <w:r w:rsidR="00E11E8B">
              <w:rPr>
                <w:webHidden/>
              </w:rPr>
              <w:t>4</w:t>
            </w:r>
            <w:r w:rsidR="00344974" w:rsidRPr="00344974">
              <w:rPr>
                <w:webHidden/>
              </w:rPr>
              <w:fldChar w:fldCharType="end"/>
            </w:r>
          </w:hyperlink>
        </w:p>
        <w:p w14:paraId="06A7B4BF" w14:textId="5AE3DF9E" w:rsidR="00344974" w:rsidRPr="00344974" w:rsidRDefault="00991432">
          <w:pPr>
            <w:pStyle w:val="TOC2"/>
            <w:rPr>
              <w:rFonts w:asciiTheme="majorHAnsi" w:eastAsiaTheme="minorEastAsia" w:hAnsiTheme="majorHAnsi" w:cstheme="minorBidi"/>
              <w:noProof/>
              <w:sz w:val="20"/>
              <w:szCs w:val="20"/>
              <w:bdr w:val="none" w:sz="0" w:space="0" w:color="auto"/>
            </w:rPr>
          </w:pPr>
          <w:hyperlink w:anchor="_Toc514247637" w:history="1">
            <w:r w:rsidR="00344974" w:rsidRPr="00344974">
              <w:rPr>
                <w:rStyle w:val="Hyperlink"/>
                <w:rFonts w:asciiTheme="majorHAnsi" w:hAnsiTheme="majorHAnsi" w:cs="Arial"/>
                <w:bCs/>
                <w:iCs/>
                <w:noProof/>
                <w:sz w:val="20"/>
                <w:szCs w:val="20"/>
                <w:lang w:val="es-VE"/>
              </w:rPr>
              <w:t>A.</w:t>
            </w:r>
            <w:r w:rsidR="00344974" w:rsidRPr="00344974">
              <w:rPr>
                <w:rFonts w:asciiTheme="majorHAnsi" w:eastAsiaTheme="minorEastAsia" w:hAnsiTheme="majorHAnsi" w:cstheme="minorBidi"/>
                <w:noProof/>
                <w:sz w:val="20"/>
                <w:szCs w:val="20"/>
                <w:bdr w:val="none" w:sz="0" w:space="0" w:color="auto"/>
              </w:rPr>
              <w:tab/>
            </w:r>
            <w:r w:rsidR="00344974" w:rsidRPr="00344974">
              <w:rPr>
                <w:rStyle w:val="Hyperlink"/>
                <w:rFonts w:asciiTheme="majorHAnsi" w:hAnsiTheme="majorHAnsi" w:cs="Arial"/>
                <w:bCs/>
                <w:iCs/>
                <w:noProof/>
                <w:sz w:val="20"/>
                <w:szCs w:val="20"/>
                <w:lang w:val="es-VE"/>
              </w:rPr>
              <w:t>Sobre el marco normativo aplicable al procedimiento disciplinario sancionatorio en contra de jueces y juezas en Perú</w:t>
            </w:r>
            <w:r w:rsidR="00344974" w:rsidRPr="00344974">
              <w:rPr>
                <w:rFonts w:asciiTheme="majorHAnsi" w:hAnsiTheme="majorHAnsi"/>
                <w:noProof/>
                <w:webHidden/>
                <w:sz w:val="20"/>
                <w:szCs w:val="20"/>
              </w:rPr>
              <w:tab/>
            </w:r>
            <w:r w:rsidR="00344974" w:rsidRPr="00344974">
              <w:rPr>
                <w:rFonts w:asciiTheme="majorHAnsi" w:hAnsiTheme="majorHAnsi"/>
                <w:noProof/>
                <w:webHidden/>
                <w:sz w:val="20"/>
                <w:szCs w:val="20"/>
              </w:rPr>
              <w:fldChar w:fldCharType="begin"/>
            </w:r>
            <w:r w:rsidR="00344974" w:rsidRPr="00344974">
              <w:rPr>
                <w:rFonts w:asciiTheme="majorHAnsi" w:hAnsiTheme="majorHAnsi"/>
                <w:noProof/>
                <w:webHidden/>
                <w:sz w:val="20"/>
                <w:szCs w:val="20"/>
              </w:rPr>
              <w:instrText xml:space="preserve"> PAGEREF _Toc514247637 \h </w:instrText>
            </w:r>
            <w:r w:rsidR="00344974" w:rsidRPr="00344974">
              <w:rPr>
                <w:rFonts w:asciiTheme="majorHAnsi" w:hAnsiTheme="majorHAnsi"/>
                <w:noProof/>
                <w:webHidden/>
                <w:sz w:val="20"/>
                <w:szCs w:val="20"/>
              </w:rPr>
            </w:r>
            <w:r w:rsidR="00344974" w:rsidRPr="00344974">
              <w:rPr>
                <w:rFonts w:asciiTheme="majorHAnsi" w:hAnsiTheme="majorHAnsi"/>
                <w:noProof/>
                <w:webHidden/>
                <w:sz w:val="20"/>
                <w:szCs w:val="20"/>
              </w:rPr>
              <w:fldChar w:fldCharType="separate"/>
            </w:r>
            <w:r w:rsidR="00E11E8B">
              <w:rPr>
                <w:rFonts w:asciiTheme="majorHAnsi" w:hAnsiTheme="majorHAnsi"/>
                <w:noProof/>
                <w:webHidden/>
                <w:sz w:val="20"/>
                <w:szCs w:val="20"/>
              </w:rPr>
              <w:t>4</w:t>
            </w:r>
            <w:r w:rsidR="00344974" w:rsidRPr="00344974">
              <w:rPr>
                <w:rFonts w:asciiTheme="majorHAnsi" w:hAnsiTheme="majorHAnsi"/>
                <w:noProof/>
                <w:webHidden/>
                <w:sz w:val="20"/>
                <w:szCs w:val="20"/>
              </w:rPr>
              <w:fldChar w:fldCharType="end"/>
            </w:r>
          </w:hyperlink>
        </w:p>
        <w:p w14:paraId="6ACDC625" w14:textId="618F82AD" w:rsidR="00344974" w:rsidRPr="00344974" w:rsidRDefault="00991432">
          <w:pPr>
            <w:pStyle w:val="TOC2"/>
            <w:rPr>
              <w:rFonts w:asciiTheme="majorHAnsi" w:eastAsiaTheme="minorEastAsia" w:hAnsiTheme="majorHAnsi" w:cstheme="minorBidi"/>
              <w:noProof/>
              <w:sz w:val="20"/>
              <w:szCs w:val="20"/>
              <w:bdr w:val="none" w:sz="0" w:space="0" w:color="auto"/>
            </w:rPr>
          </w:pPr>
          <w:hyperlink w:anchor="_Toc514247638" w:history="1">
            <w:r w:rsidR="00344974" w:rsidRPr="00344974">
              <w:rPr>
                <w:rStyle w:val="Hyperlink"/>
                <w:rFonts w:asciiTheme="majorHAnsi" w:hAnsiTheme="majorHAnsi" w:cs="Arial"/>
                <w:bCs/>
                <w:iCs/>
                <w:noProof/>
                <w:sz w:val="20"/>
                <w:szCs w:val="20"/>
                <w:lang w:val="es-VE"/>
              </w:rPr>
              <w:t>B.</w:t>
            </w:r>
            <w:r w:rsidR="00344974" w:rsidRPr="00344974">
              <w:rPr>
                <w:rFonts w:asciiTheme="majorHAnsi" w:eastAsiaTheme="minorEastAsia" w:hAnsiTheme="majorHAnsi" w:cstheme="minorBidi"/>
                <w:noProof/>
                <w:sz w:val="20"/>
                <w:szCs w:val="20"/>
                <w:bdr w:val="none" w:sz="0" w:space="0" w:color="auto"/>
              </w:rPr>
              <w:tab/>
            </w:r>
            <w:r w:rsidR="00344974" w:rsidRPr="00344974">
              <w:rPr>
                <w:rStyle w:val="Hyperlink"/>
                <w:rFonts w:asciiTheme="majorHAnsi" w:hAnsiTheme="majorHAnsi" w:cs="Arial"/>
                <w:bCs/>
                <w:iCs/>
                <w:noProof/>
                <w:sz w:val="20"/>
                <w:szCs w:val="20"/>
                <w:lang w:val="es-VE"/>
              </w:rPr>
              <w:t>Sobre el nombramiento de Héctor Fidel Cordero Bernal y la decisión de libertad incondicional</w:t>
            </w:r>
            <w:r w:rsidR="00344974" w:rsidRPr="00344974">
              <w:rPr>
                <w:rFonts w:asciiTheme="majorHAnsi" w:hAnsiTheme="majorHAnsi"/>
                <w:noProof/>
                <w:webHidden/>
                <w:sz w:val="20"/>
                <w:szCs w:val="20"/>
              </w:rPr>
              <w:tab/>
            </w:r>
            <w:r w:rsidR="00344974" w:rsidRPr="00344974">
              <w:rPr>
                <w:rFonts w:asciiTheme="majorHAnsi" w:hAnsiTheme="majorHAnsi"/>
                <w:noProof/>
                <w:webHidden/>
                <w:sz w:val="20"/>
                <w:szCs w:val="20"/>
              </w:rPr>
              <w:fldChar w:fldCharType="begin"/>
            </w:r>
            <w:r w:rsidR="00344974" w:rsidRPr="00344974">
              <w:rPr>
                <w:rFonts w:asciiTheme="majorHAnsi" w:hAnsiTheme="majorHAnsi"/>
                <w:noProof/>
                <w:webHidden/>
                <w:sz w:val="20"/>
                <w:szCs w:val="20"/>
              </w:rPr>
              <w:instrText xml:space="preserve"> PAGEREF _Toc514247638 \h </w:instrText>
            </w:r>
            <w:r w:rsidR="00344974" w:rsidRPr="00344974">
              <w:rPr>
                <w:rFonts w:asciiTheme="majorHAnsi" w:hAnsiTheme="majorHAnsi"/>
                <w:noProof/>
                <w:webHidden/>
                <w:sz w:val="20"/>
                <w:szCs w:val="20"/>
              </w:rPr>
            </w:r>
            <w:r w:rsidR="00344974" w:rsidRPr="00344974">
              <w:rPr>
                <w:rFonts w:asciiTheme="majorHAnsi" w:hAnsiTheme="majorHAnsi"/>
                <w:noProof/>
                <w:webHidden/>
                <w:sz w:val="20"/>
                <w:szCs w:val="20"/>
              </w:rPr>
              <w:fldChar w:fldCharType="separate"/>
            </w:r>
            <w:r w:rsidR="00E11E8B">
              <w:rPr>
                <w:rFonts w:asciiTheme="majorHAnsi" w:hAnsiTheme="majorHAnsi"/>
                <w:noProof/>
                <w:webHidden/>
                <w:sz w:val="20"/>
                <w:szCs w:val="20"/>
              </w:rPr>
              <w:t>6</w:t>
            </w:r>
            <w:r w:rsidR="00344974" w:rsidRPr="00344974">
              <w:rPr>
                <w:rFonts w:asciiTheme="majorHAnsi" w:hAnsiTheme="majorHAnsi"/>
                <w:noProof/>
                <w:webHidden/>
                <w:sz w:val="20"/>
                <w:szCs w:val="20"/>
              </w:rPr>
              <w:fldChar w:fldCharType="end"/>
            </w:r>
          </w:hyperlink>
        </w:p>
        <w:p w14:paraId="73377392" w14:textId="491C3A00" w:rsidR="00344974" w:rsidRPr="00344974" w:rsidRDefault="00991432">
          <w:pPr>
            <w:pStyle w:val="TOC2"/>
            <w:rPr>
              <w:rFonts w:asciiTheme="majorHAnsi" w:eastAsiaTheme="minorEastAsia" w:hAnsiTheme="majorHAnsi" w:cstheme="minorBidi"/>
              <w:noProof/>
              <w:sz w:val="20"/>
              <w:szCs w:val="20"/>
              <w:bdr w:val="none" w:sz="0" w:space="0" w:color="auto"/>
            </w:rPr>
          </w:pPr>
          <w:hyperlink w:anchor="_Toc514247639" w:history="1">
            <w:r w:rsidR="00344974" w:rsidRPr="00344974">
              <w:rPr>
                <w:rStyle w:val="Hyperlink"/>
                <w:rFonts w:asciiTheme="majorHAnsi" w:hAnsiTheme="majorHAnsi" w:cs="Arial"/>
                <w:bCs/>
                <w:iCs/>
                <w:noProof/>
                <w:sz w:val="20"/>
                <w:szCs w:val="20"/>
                <w:lang w:val="es-VE"/>
              </w:rPr>
              <w:t>C.</w:t>
            </w:r>
            <w:r w:rsidR="00344974" w:rsidRPr="00344974">
              <w:rPr>
                <w:rFonts w:asciiTheme="majorHAnsi" w:eastAsiaTheme="minorEastAsia" w:hAnsiTheme="majorHAnsi" w:cstheme="minorBidi"/>
                <w:noProof/>
                <w:sz w:val="20"/>
                <w:szCs w:val="20"/>
                <w:bdr w:val="none" w:sz="0" w:space="0" w:color="auto"/>
              </w:rPr>
              <w:tab/>
            </w:r>
            <w:r w:rsidR="00344974" w:rsidRPr="00344974">
              <w:rPr>
                <w:rStyle w:val="Hyperlink"/>
                <w:rFonts w:asciiTheme="majorHAnsi" w:hAnsiTheme="majorHAnsi" w:cs="Arial"/>
                <w:bCs/>
                <w:iCs/>
                <w:noProof/>
                <w:sz w:val="20"/>
                <w:szCs w:val="20"/>
                <w:lang w:val="es-VE"/>
              </w:rPr>
              <w:t>Sobre el proceso disciplinario en contra de la presunta víctima</w:t>
            </w:r>
            <w:r w:rsidR="00344974" w:rsidRPr="00344974">
              <w:rPr>
                <w:rFonts w:asciiTheme="majorHAnsi" w:hAnsiTheme="majorHAnsi"/>
                <w:noProof/>
                <w:webHidden/>
                <w:sz w:val="20"/>
                <w:szCs w:val="20"/>
              </w:rPr>
              <w:tab/>
            </w:r>
            <w:r w:rsidR="00344974" w:rsidRPr="00344974">
              <w:rPr>
                <w:rFonts w:asciiTheme="majorHAnsi" w:hAnsiTheme="majorHAnsi"/>
                <w:noProof/>
                <w:webHidden/>
                <w:sz w:val="20"/>
                <w:szCs w:val="20"/>
              </w:rPr>
              <w:fldChar w:fldCharType="begin"/>
            </w:r>
            <w:r w:rsidR="00344974" w:rsidRPr="00344974">
              <w:rPr>
                <w:rFonts w:asciiTheme="majorHAnsi" w:hAnsiTheme="majorHAnsi"/>
                <w:noProof/>
                <w:webHidden/>
                <w:sz w:val="20"/>
                <w:szCs w:val="20"/>
              </w:rPr>
              <w:instrText xml:space="preserve"> PAGEREF _Toc514247639 \h </w:instrText>
            </w:r>
            <w:r w:rsidR="00344974" w:rsidRPr="00344974">
              <w:rPr>
                <w:rFonts w:asciiTheme="majorHAnsi" w:hAnsiTheme="majorHAnsi"/>
                <w:noProof/>
                <w:webHidden/>
                <w:sz w:val="20"/>
                <w:szCs w:val="20"/>
              </w:rPr>
            </w:r>
            <w:r w:rsidR="00344974" w:rsidRPr="00344974">
              <w:rPr>
                <w:rFonts w:asciiTheme="majorHAnsi" w:hAnsiTheme="majorHAnsi"/>
                <w:noProof/>
                <w:webHidden/>
                <w:sz w:val="20"/>
                <w:szCs w:val="20"/>
              </w:rPr>
              <w:fldChar w:fldCharType="separate"/>
            </w:r>
            <w:r w:rsidR="00E11E8B">
              <w:rPr>
                <w:rFonts w:asciiTheme="majorHAnsi" w:hAnsiTheme="majorHAnsi"/>
                <w:noProof/>
                <w:webHidden/>
                <w:sz w:val="20"/>
                <w:szCs w:val="20"/>
              </w:rPr>
              <w:t>7</w:t>
            </w:r>
            <w:r w:rsidR="00344974" w:rsidRPr="00344974">
              <w:rPr>
                <w:rFonts w:asciiTheme="majorHAnsi" w:hAnsiTheme="majorHAnsi"/>
                <w:noProof/>
                <w:webHidden/>
                <w:sz w:val="20"/>
                <w:szCs w:val="20"/>
              </w:rPr>
              <w:fldChar w:fldCharType="end"/>
            </w:r>
          </w:hyperlink>
        </w:p>
        <w:p w14:paraId="3159AB3D" w14:textId="59DE763A" w:rsidR="00344974" w:rsidRPr="00344974" w:rsidRDefault="00991432">
          <w:pPr>
            <w:pStyle w:val="TOC2"/>
            <w:rPr>
              <w:rFonts w:asciiTheme="majorHAnsi" w:eastAsiaTheme="minorEastAsia" w:hAnsiTheme="majorHAnsi" w:cstheme="minorBidi"/>
              <w:noProof/>
              <w:sz w:val="20"/>
              <w:szCs w:val="20"/>
              <w:bdr w:val="none" w:sz="0" w:space="0" w:color="auto"/>
            </w:rPr>
          </w:pPr>
          <w:hyperlink w:anchor="_Toc514247640" w:history="1">
            <w:r w:rsidR="00344974" w:rsidRPr="00344974">
              <w:rPr>
                <w:rStyle w:val="Hyperlink"/>
                <w:rFonts w:asciiTheme="majorHAnsi" w:hAnsiTheme="majorHAnsi" w:cs="Arial"/>
                <w:bCs/>
                <w:iCs/>
                <w:noProof/>
                <w:sz w:val="20"/>
                <w:szCs w:val="20"/>
                <w:lang w:val="es-VE"/>
              </w:rPr>
              <w:t>D.</w:t>
            </w:r>
            <w:r w:rsidR="00344974" w:rsidRPr="00344974">
              <w:rPr>
                <w:rFonts w:asciiTheme="majorHAnsi" w:eastAsiaTheme="minorEastAsia" w:hAnsiTheme="majorHAnsi" w:cstheme="minorBidi"/>
                <w:noProof/>
                <w:sz w:val="20"/>
                <w:szCs w:val="20"/>
                <w:bdr w:val="none" w:sz="0" w:space="0" w:color="auto"/>
              </w:rPr>
              <w:tab/>
            </w:r>
            <w:r w:rsidR="00344974" w:rsidRPr="00344974">
              <w:rPr>
                <w:rStyle w:val="Hyperlink"/>
                <w:rFonts w:asciiTheme="majorHAnsi" w:hAnsiTheme="majorHAnsi" w:cs="Arial"/>
                <w:bCs/>
                <w:iCs/>
                <w:noProof/>
                <w:sz w:val="20"/>
                <w:szCs w:val="20"/>
                <w:lang w:val="es-VE"/>
              </w:rPr>
              <w:t>Proceso penal en contra de Héctor Fidel Cordero Bernal</w:t>
            </w:r>
            <w:r w:rsidR="00344974" w:rsidRPr="00344974">
              <w:rPr>
                <w:rFonts w:asciiTheme="majorHAnsi" w:hAnsiTheme="majorHAnsi"/>
                <w:noProof/>
                <w:webHidden/>
                <w:sz w:val="20"/>
                <w:szCs w:val="20"/>
              </w:rPr>
              <w:tab/>
            </w:r>
            <w:r w:rsidR="00344974" w:rsidRPr="00344974">
              <w:rPr>
                <w:rFonts w:asciiTheme="majorHAnsi" w:hAnsiTheme="majorHAnsi"/>
                <w:noProof/>
                <w:webHidden/>
                <w:sz w:val="20"/>
                <w:szCs w:val="20"/>
              </w:rPr>
              <w:fldChar w:fldCharType="begin"/>
            </w:r>
            <w:r w:rsidR="00344974" w:rsidRPr="00344974">
              <w:rPr>
                <w:rFonts w:asciiTheme="majorHAnsi" w:hAnsiTheme="majorHAnsi"/>
                <w:noProof/>
                <w:webHidden/>
                <w:sz w:val="20"/>
                <w:szCs w:val="20"/>
              </w:rPr>
              <w:instrText xml:space="preserve"> PAGEREF _Toc514247640 \h </w:instrText>
            </w:r>
            <w:r w:rsidR="00344974" w:rsidRPr="00344974">
              <w:rPr>
                <w:rFonts w:asciiTheme="majorHAnsi" w:hAnsiTheme="majorHAnsi"/>
                <w:noProof/>
                <w:webHidden/>
                <w:sz w:val="20"/>
                <w:szCs w:val="20"/>
              </w:rPr>
            </w:r>
            <w:r w:rsidR="00344974" w:rsidRPr="00344974">
              <w:rPr>
                <w:rFonts w:asciiTheme="majorHAnsi" w:hAnsiTheme="majorHAnsi"/>
                <w:noProof/>
                <w:webHidden/>
                <w:sz w:val="20"/>
                <w:szCs w:val="20"/>
              </w:rPr>
              <w:fldChar w:fldCharType="separate"/>
            </w:r>
            <w:r w:rsidR="00E11E8B">
              <w:rPr>
                <w:rFonts w:asciiTheme="majorHAnsi" w:hAnsiTheme="majorHAnsi"/>
                <w:noProof/>
                <w:webHidden/>
                <w:sz w:val="20"/>
                <w:szCs w:val="20"/>
              </w:rPr>
              <w:t>12</w:t>
            </w:r>
            <w:r w:rsidR="00344974" w:rsidRPr="00344974">
              <w:rPr>
                <w:rFonts w:asciiTheme="majorHAnsi" w:hAnsiTheme="majorHAnsi"/>
                <w:noProof/>
                <w:webHidden/>
                <w:sz w:val="20"/>
                <w:szCs w:val="20"/>
              </w:rPr>
              <w:fldChar w:fldCharType="end"/>
            </w:r>
          </w:hyperlink>
        </w:p>
        <w:p w14:paraId="580B1F19" w14:textId="7C3339B5" w:rsidR="00344974" w:rsidRPr="00344974" w:rsidRDefault="00991432">
          <w:pPr>
            <w:pStyle w:val="TOC3"/>
            <w:tabs>
              <w:tab w:val="left" w:pos="2160"/>
            </w:tabs>
            <w:rPr>
              <w:rFonts w:asciiTheme="majorHAnsi" w:eastAsiaTheme="minorEastAsia" w:hAnsiTheme="majorHAnsi" w:cstheme="minorBidi"/>
              <w:noProof/>
              <w:sz w:val="20"/>
              <w:szCs w:val="20"/>
              <w:bdr w:val="none" w:sz="0" w:space="0" w:color="auto"/>
            </w:rPr>
          </w:pPr>
          <w:hyperlink w:anchor="_Toc514247641" w:history="1">
            <w:r w:rsidR="00344974" w:rsidRPr="00344974">
              <w:rPr>
                <w:rStyle w:val="Hyperlink"/>
                <w:rFonts w:asciiTheme="majorHAnsi" w:eastAsia="Times New Roman" w:hAnsiTheme="majorHAnsi"/>
                <w:noProof/>
                <w:sz w:val="20"/>
                <w:szCs w:val="20"/>
                <w:lang w:val="es-CO"/>
              </w:rPr>
              <w:t>1.</w:t>
            </w:r>
            <w:r w:rsidR="00344974" w:rsidRPr="00344974">
              <w:rPr>
                <w:rFonts w:asciiTheme="majorHAnsi" w:eastAsiaTheme="minorEastAsia" w:hAnsiTheme="majorHAnsi" w:cstheme="minorBidi"/>
                <w:noProof/>
                <w:sz w:val="20"/>
                <w:szCs w:val="20"/>
                <w:bdr w:val="none" w:sz="0" w:space="0" w:color="auto"/>
              </w:rPr>
              <w:tab/>
            </w:r>
            <w:r w:rsidR="00344974" w:rsidRPr="00344974">
              <w:rPr>
                <w:rStyle w:val="Hyperlink"/>
                <w:rFonts w:asciiTheme="majorHAnsi" w:eastAsia="Times New Roman" w:hAnsiTheme="majorHAnsi" w:cs="Arial"/>
                <w:noProof/>
                <w:sz w:val="20"/>
                <w:szCs w:val="20"/>
                <w:lang w:val="es-VE"/>
              </w:rPr>
              <w:t>Primera Sentencia</w:t>
            </w:r>
            <w:r w:rsidR="00344974" w:rsidRPr="00344974">
              <w:rPr>
                <w:rFonts w:asciiTheme="majorHAnsi" w:hAnsiTheme="majorHAnsi"/>
                <w:noProof/>
                <w:webHidden/>
                <w:sz w:val="20"/>
                <w:szCs w:val="20"/>
              </w:rPr>
              <w:tab/>
            </w:r>
            <w:r w:rsidR="00344974" w:rsidRPr="00344974">
              <w:rPr>
                <w:rFonts w:asciiTheme="majorHAnsi" w:hAnsiTheme="majorHAnsi"/>
                <w:noProof/>
                <w:webHidden/>
                <w:sz w:val="20"/>
                <w:szCs w:val="20"/>
              </w:rPr>
              <w:fldChar w:fldCharType="begin"/>
            </w:r>
            <w:r w:rsidR="00344974" w:rsidRPr="00344974">
              <w:rPr>
                <w:rFonts w:asciiTheme="majorHAnsi" w:hAnsiTheme="majorHAnsi"/>
                <w:noProof/>
                <w:webHidden/>
                <w:sz w:val="20"/>
                <w:szCs w:val="20"/>
              </w:rPr>
              <w:instrText xml:space="preserve"> PAGEREF _Toc514247641 \h </w:instrText>
            </w:r>
            <w:r w:rsidR="00344974" w:rsidRPr="00344974">
              <w:rPr>
                <w:rFonts w:asciiTheme="majorHAnsi" w:hAnsiTheme="majorHAnsi"/>
                <w:noProof/>
                <w:webHidden/>
                <w:sz w:val="20"/>
                <w:szCs w:val="20"/>
              </w:rPr>
            </w:r>
            <w:r w:rsidR="00344974" w:rsidRPr="00344974">
              <w:rPr>
                <w:rFonts w:asciiTheme="majorHAnsi" w:hAnsiTheme="majorHAnsi"/>
                <w:noProof/>
                <w:webHidden/>
                <w:sz w:val="20"/>
                <w:szCs w:val="20"/>
              </w:rPr>
              <w:fldChar w:fldCharType="separate"/>
            </w:r>
            <w:r w:rsidR="00E11E8B">
              <w:rPr>
                <w:rFonts w:asciiTheme="majorHAnsi" w:hAnsiTheme="majorHAnsi"/>
                <w:noProof/>
                <w:webHidden/>
                <w:sz w:val="20"/>
                <w:szCs w:val="20"/>
              </w:rPr>
              <w:t>13</w:t>
            </w:r>
            <w:r w:rsidR="00344974" w:rsidRPr="00344974">
              <w:rPr>
                <w:rFonts w:asciiTheme="majorHAnsi" w:hAnsiTheme="majorHAnsi"/>
                <w:noProof/>
                <w:webHidden/>
                <w:sz w:val="20"/>
                <w:szCs w:val="20"/>
              </w:rPr>
              <w:fldChar w:fldCharType="end"/>
            </w:r>
          </w:hyperlink>
        </w:p>
        <w:p w14:paraId="3DB4D70D" w14:textId="4AB400DA" w:rsidR="00344974" w:rsidRPr="00344974" w:rsidRDefault="00991432">
          <w:pPr>
            <w:pStyle w:val="TOC3"/>
            <w:tabs>
              <w:tab w:val="left" w:pos="2160"/>
            </w:tabs>
            <w:rPr>
              <w:rFonts w:asciiTheme="majorHAnsi" w:eastAsiaTheme="minorEastAsia" w:hAnsiTheme="majorHAnsi" w:cstheme="minorBidi"/>
              <w:noProof/>
              <w:sz w:val="20"/>
              <w:szCs w:val="20"/>
              <w:bdr w:val="none" w:sz="0" w:space="0" w:color="auto"/>
            </w:rPr>
          </w:pPr>
          <w:hyperlink w:anchor="_Toc514247642" w:history="1">
            <w:r w:rsidR="00344974" w:rsidRPr="00344974">
              <w:rPr>
                <w:rStyle w:val="Hyperlink"/>
                <w:rFonts w:asciiTheme="majorHAnsi" w:eastAsia="Times New Roman" w:hAnsiTheme="majorHAnsi"/>
                <w:noProof/>
                <w:sz w:val="20"/>
                <w:szCs w:val="20"/>
                <w:lang w:val="es-CO"/>
              </w:rPr>
              <w:t>2.</w:t>
            </w:r>
            <w:r w:rsidR="00344974" w:rsidRPr="00344974">
              <w:rPr>
                <w:rFonts w:asciiTheme="majorHAnsi" w:eastAsiaTheme="minorEastAsia" w:hAnsiTheme="majorHAnsi" w:cstheme="minorBidi"/>
                <w:noProof/>
                <w:sz w:val="20"/>
                <w:szCs w:val="20"/>
                <w:bdr w:val="none" w:sz="0" w:space="0" w:color="auto"/>
              </w:rPr>
              <w:tab/>
            </w:r>
            <w:r w:rsidR="00344974" w:rsidRPr="00344974">
              <w:rPr>
                <w:rStyle w:val="Hyperlink"/>
                <w:rFonts w:asciiTheme="majorHAnsi" w:eastAsia="Times New Roman" w:hAnsiTheme="majorHAnsi" w:cs="Arial"/>
                <w:noProof/>
                <w:sz w:val="20"/>
                <w:szCs w:val="20"/>
                <w:lang w:val="es-VE"/>
              </w:rPr>
              <w:t>Segunda Sentencia</w:t>
            </w:r>
            <w:r w:rsidR="00344974" w:rsidRPr="00344974">
              <w:rPr>
                <w:rFonts w:asciiTheme="majorHAnsi" w:hAnsiTheme="majorHAnsi"/>
                <w:noProof/>
                <w:webHidden/>
                <w:sz w:val="20"/>
                <w:szCs w:val="20"/>
              </w:rPr>
              <w:tab/>
            </w:r>
            <w:r w:rsidR="00344974" w:rsidRPr="00344974">
              <w:rPr>
                <w:rFonts w:asciiTheme="majorHAnsi" w:hAnsiTheme="majorHAnsi"/>
                <w:noProof/>
                <w:webHidden/>
                <w:sz w:val="20"/>
                <w:szCs w:val="20"/>
              </w:rPr>
              <w:fldChar w:fldCharType="begin"/>
            </w:r>
            <w:r w:rsidR="00344974" w:rsidRPr="00344974">
              <w:rPr>
                <w:rFonts w:asciiTheme="majorHAnsi" w:hAnsiTheme="majorHAnsi"/>
                <w:noProof/>
                <w:webHidden/>
                <w:sz w:val="20"/>
                <w:szCs w:val="20"/>
              </w:rPr>
              <w:instrText xml:space="preserve"> PAGEREF _Toc514247642 \h </w:instrText>
            </w:r>
            <w:r w:rsidR="00344974" w:rsidRPr="00344974">
              <w:rPr>
                <w:rFonts w:asciiTheme="majorHAnsi" w:hAnsiTheme="majorHAnsi"/>
                <w:noProof/>
                <w:webHidden/>
                <w:sz w:val="20"/>
                <w:szCs w:val="20"/>
              </w:rPr>
            </w:r>
            <w:r w:rsidR="00344974" w:rsidRPr="00344974">
              <w:rPr>
                <w:rFonts w:asciiTheme="majorHAnsi" w:hAnsiTheme="majorHAnsi"/>
                <w:noProof/>
                <w:webHidden/>
                <w:sz w:val="20"/>
                <w:szCs w:val="20"/>
              </w:rPr>
              <w:fldChar w:fldCharType="separate"/>
            </w:r>
            <w:r w:rsidR="00E11E8B">
              <w:rPr>
                <w:rFonts w:asciiTheme="majorHAnsi" w:hAnsiTheme="majorHAnsi"/>
                <w:noProof/>
                <w:webHidden/>
                <w:sz w:val="20"/>
                <w:szCs w:val="20"/>
              </w:rPr>
              <w:t>14</w:t>
            </w:r>
            <w:r w:rsidR="00344974" w:rsidRPr="00344974">
              <w:rPr>
                <w:rFonts w:asciiTheme="majorHAnsi" w:hAnsiTheme="majorHAnsi"/>
                <w:noProof/>
                <w:webHidden/>
                <w:sz w:val="20"/>
                <w:szCs w:val="20"/>
              </w:rPr>
              <w:fldChar w:fldCharType="end"/>
            </w:r>
          </w:hyperlink>
        </w:p>
        <w:p w14:paraId="5DAAE6D0" w14:textId="495008EE" w:rsidR="00344974" w:rsidRPr="00344974" w:rsidRDefault="00991432">
          <w:pPr>
            <w:pStyle w:val="TOC3"/>
            <w:tabs>
              <w:tab w:val="left" w:pos="2160"/>
            </w:tabs>
            <w:rPr>
              <w:rFonts w:asciiTheme="majorHAnsi" w:eastAsiaTheme="minorEastAsia" w:hAnsiTheme="majorHAnsi" w:cstheme="minorBidi"/>
              <w:noProof/>
              <w:sz w:val="20"/>
              <w:szCs w:val="20"/>
              <w:bdr w:val="none" w:sz="0" w:space="0" w:color="auto"/>
            </w:rPr>
          </w:pPr>
          <w:hyperlink w:anchor="_Toc514247643" w:history="1">
            <w:r w:rsidR="00344974" w:rsidRPr="00344974">
              <w:rPr>
                <w:rStyle w:val="Hyperlink"/>
                <w:rFonts w:asciiTheme="majorHAnsi" w:hAnsiTheme="majorHAnsi"/>
                <w:noProof/>
                <w:sz w:val="20"/>
                <w:szCs w:val="20"/>
                <w:lang w:val="es-CO"/>
              </w:rPr>
              <w:t>3.</w:t>
            </w:r>
            <w:r w:rsidR="00344974" w:rsidRPr="00344974">
              <w:rPr>
                <w:rFonts w:asciiTheme="majorHAnsi" w:eastAsiaTheme="minorEastAsia" w:hAnsiTheme="majorHAnsi" w:cstheme="minorBidi"/>
                <w:noProof/>
                <w:sz w:val="20"/>
                <w:szCs w:val="20"/>
                <w:bdr w:val="none" w:sz="0" w:space="0" w:color="auto"/>
              </w:rPr>
              <w:tab/>
            </w:r>
            <w:r w:rsidR="00344974" w:rsidRPr="00344974">
              <w:rPr>
                <w:rStyle w:val="Hyperlink"/>
                <w:rFonts w:asciiTheme="majorHAnsi" w:eastAsia="Times New Roman" w:hAnsiTheme="majorHAnsi" w:cs="Arial"/>
                <w:noProof/>
                <w:sz w:val="20"/>
                <w:szCs w:val="20"/>
                <w:lang w:val="es-VE"/>
              </w:rPr>
              <w:t>Tercera Sentencia</w:t>
            </w:r>
            <w:r w:rsidR="00344974" w:rsidRPr="00344974">
              <w:rPr>
                <w:rFonts w:asciiTheme="majorHAnsi" w:hAnsiTheme="majorHAnsi"/>
                <w:noProof/>
                <w:webHidden/>
                <w:sz w:val="20"/>
                <w:szCs w:val="20"/>
              </w:rPr>
              <w:tab/>
            </w:r>
            <w:r w:rsidR="00344974" w:rsidRPr="00344974">
              <w:rPr>
                <w:rFonts w:asciiTheme="majorHAnsi" w:hAnsiTheme="majorHAnsi"/>
                <w:noProof/>
                <w:webHidden/>
                <w:sz w:val="20"/>
                <w:szCs w:val="20"/>
              </w:rPr>
              <w:fldChar w:fldCharType="begin"/>
            </w:r>
            <w:r w:rsidR="00344974" w:rsidRPr="00344974">
              <w:rPr>
                <w:rFonts w:asciiTheme="majorHAnsi" w:hAnsiTheme="majorHAnsi"/>
                <w:noProof/>
                <w:webHidden/>
                <w:sz w:val="20"/>
                <w:szCs w:val="20"/>
              </w:rPr>
              <w:instrText xml:space="preserve"> PAGEREF _Toc514247643 \h </w:instrText>
            </w:r>
            <w:r w:rsidR="00344974" w:rsidRPr="00344974">
              <w:rPr>
                <w:rFonts w:asciiTheme="majorHAnsi" w:hAnsiTheme="majorHAnsi"/>
                <w:noProof/>
                <w:webHidden/>
                <w:sz w:val="20"/>
                <w:szCs w:val="20"/>
              </w:rPr>
            </w:r>
            <w:r w:rsidR="00344974" w:rsidRPr="00344974">
              <w:rPr>
                <w:rFonts w:asciiTheme="majorHAnsi" w:hAnsiTheme="majorHAnsi"/>
                <w:noProof/>
                <w:webHidden/>
                <w:sz w:val="20"/>
                <w:szCs w:val="20"/>
              </w:rPr>
              <w:fldChar w:fldCharType="separate"/>
            </w:r>
            <w:r w:rsidR="00E11E8B">
              <w:rPr>
                <w:rFonts w:asciiTheme="majorHAnsi" w:hAnsiTheme="majorHAnsi"/>
                <w:noProof/>
                <w:webHidden/>
                <w:sz w:val="20"/>
                <w:szCs w:val="20"/>
              </w:rPr>
              <w:t>14</w:t>
            </w:r>
            <w:r w:rsidR="00344974" w:rsidRPr="00344974">
              <w:rPr>
                <w:rFonts w:asciiTheme="majorHAnsi" w:hAnsiTheme="majorHAnsi"/>
                <w:noProof/>
                <w:webHidden/>
                <w:sz w:val="20"/>
                <w:szCs w:val="20"/>
              </w:rPr>
              <w:fldChar w:fldCharType="end"/>
            </w:r>
          </w:hyperlink>
        </w:p>
        <w:p w14:paraId="00659248" w14:textId="4E33CA74" w:rsidR="00344974" w:rsidRPr="00344974" w:rsidRDefault="00991432">
          <w:pPr>
            <w:pStyle w:val="TOC3"/>
            <w:tabs>
              <w:tab w:val="left" w:pos="2160"/>
            </w:tabs>
            <w:rPr>
              <w:rFonts w:asciiTheme="majorHAnsi" w:eastAsiaTheme="minorEastAsia" w:hAnsiTheme="majorHAnsi" w:cstheme="minorBidi"/>
              <w:noProof/>
              <w:sz w:val="20"/>
              <w:szCs w:val="20"/>
              <w:bdr w:val="none" w:sz="0" w:space="0" w:color="auto"/>
            </w:rPr>
          </w:pPr>
          <w:hyperlink w:anchor="_Toc514247644" w:history="1">
            <w:r w:rsidR="00344974" w:rsidRPr="00344974">
              <w:rPr>
                <w:rStyle w:val="Hyperlink"/>
                <w:rFonts w:asciiTheme="majorHAnsi" w:hAnsiTheme="majorHAnsi"/>
                <w:noProof/>
                <w:sz w:val="20"/>
                <w:szCs w:val="20"/>
                <w:lang w:val="es-CO"/>
              </w:rPr>
              <w:t>4.</w:t>
            </w:r>
            <w:r w:rsidR="00344974" w:rsidRPr="00344974">
              <w:rPr>
                <w:rFonts w:asciiTheme="majorHAnsi" w:eastAsiaTheme="minorEastAsia" w:hAnsiTheme="majorHAnsi" w:cstheme="minorBidi"/>
                <w:noProof/>
                <w:sz w:val="20"/>
                <w:szCs w:val="20"/>
                <w:bdr w:val="none" w:sz="0" w:space="0" w:color="auto"/>
              </w:rPr>
              <w:tab/>
            </w:r>
            <w:r w:rsidR="00344974" w:rsidRPr="00344974">
              <w:rPr>
                <w:rStyle w:val="Hyperlink"/>
                <w:rFonts w:asciiTheme="majorHAnsi" w:eastAsia="Times New Roman" w:hAnsiTheme="majorHAnsi" w:cs="Arial"/>
                <w:noProof/>
                <w:sz w:val="20"/>
                <w:szCs w:val="20"/>
                <w:lang w:val="es-VE"/>
              </w:rPr>
              <w:t>Cuarta Sentencia</w:t>
            </w:r>
            <w:r w:rsidR="00344974" w:rsidRPr="00344974">
              <w:rPr>
                <w:rFonts w:asciiTheme="majorHAnsi" w:hAnsiTheme="majorHAnsi"/>
                <w:noProof/>
                <w:webHidden/>
                <w:sz w:val="20"/>
                <w:szCs w:val="20"/>
              </w:rPr>
              <w:tab/>
            </w:r>
            <w:r w:rsidR="00344974" w:rsidRPr="00344974">
              <w:rPr>
                <w:rFonts w:asciiTheme="majorHAnsi" w:hAnsiTheme="majorHAnsi"/>
                <w:noProof/>
                <w:webHidden/>
                <w:sz w:val="20"/>
                <w:szCs w:val="20"/>
              </w:rPr>
              <w:fldChar w:fldCharType="begin"/>
            </w:r>
            <w:r w:rsidR="00344974" w:rsidRPr="00344974">
              <w:rPr>
                <w:rFonts w:asciiTheme="majorHAnsi" w:hAnsiTheme="majorHAnsi"/>
                <w:noProof/>
                <w:webHidden/>
                <w:sz w:val="20"/>
                <w:szCs w:val="20"/>
              </w:rPr>
              <w:instrText xml:space="preserve"> PAGEREF _Toc514247644 \h </w:instrText>
            </w:r>
            <w:r w:rsidR="00344974" w:rsidRPr="00344974">
              <w:rPr>
                <w:rFonts w:asciiTheme="majorHAnsi" w:hAnsiTheme="majorHAnsi"/>
                <w:noProof/>
                <w:webHidden/>
                <w:sz w:val="20"/>
                <w:szCs w:val="20"/>
              </w:rPr>
            </w:r>
            <w:r w:rsidR="00344974" w:rsidRPr="00344974">
              <w:rPr>
                <w:rFonts w:asciiTheme="majorHAnsi" w:hAnsiTheme="majorHAnsi"/>
                <w:noProof/>
                <w:webHidden/>
                <w:sz w:val="20"/>
                <w:szCs w:val="20"/>
              </w:rPr>
              <w:fldChar w:fldCharType="separate"/>
            </w:r>
            <w:r w:rsidR="00E11E8B">
              <w:rPr>
                <w:rFonts w:asciiTheme="majorHAnsi" w:hAnsiTheme="majorHAnsi"/>
                <w:noProof/>
                <w:webHidden/>
                <w:sz w:val="20"/>
                <w:szCs w:val="20"/>
              </w:rPr>
              <w:t>14</w:t>
            </w:r>
            <w:r w:rsidR="00344974" w:rsidRPr="00344974">
              <w:rPr>
                <w:rFonts w:asciiTheme="majorHAnsi" w:hAnsiTheme="majorHAnsi"/>
                <w:noProof/>
                <w:webHidden/>
                <w:sz w:val="20"/>
                <w:szCs w:val="20"/>
              </w:rPr>
              <w:fldChar w:fldCharType="end"/>
            </w:r>
          </w:hyperlink>
        </w:p>
        <w:p w14:paraId="53A98A07" w14:textId="4AE975C9" w:rsidR="00344974" w:rsidRPr="00344974" w:rsidRDefault="00991432">
          <w:pPr>
            <w:pStyle w:val="TOC2"/>
            <w:rPr>
              <w:rFonts w:asciiTheme="majorHAnsi" w:eastAsiaTheme="minorEastAsia" w:hAnsiTheme="majorHAnsi" w:cstheme="minorBidi"/>
              <w:noProof/>
              <w:sz w:val="20"/>
              <w:szCs w:val="20"/>
              <w:bdr w:val="none" w:sz="0" w:space="0" w:color="auto"/>
            </w:rPr>
          </w:pPr>
          <w:hyperlink w:anchor="_Toc514247645" w:history="1">
            <w:r w:rsidR="00344974" w:rsidRPr="00344974">
              <w:rPr>
                <w:rStyle w:val="Hyperlink"/>
                <w:rFonts w:asciiTheme="majorHAnsi" w:hAnsiTheme="majorHAnsi"/>
                <w:noProof/>
                <w:sz w:val="20"/>
                <w:szCs w:val="20"/>
                <w:lang w:val="es-CL"/>
              </w:rPr>
              <w:t>E.</w:t>
            </w:r>
            <w:r w:rsidR="00344974" w:rsidRPr="00344974">
              <w:rPr>
                <w:rFonts w:asciiTheme="majorHAnsi" w:eastAsiaTheme="minorEastAsia" w:hAnsiTheme="majorHAnsi" w:cstheme="minorBidi"/>
                <w:noProof/>
                <w:sz w:val="20"/>
                <w:szCs w:val="20"/>
                <w:bdr w:val="none" w:sz="0" w:space="0" w:color="auto"/>
              </w:rPr>
              <w:tab/>
            </w:r>
            <w:r w:rsidR="00344974" w:rsidRPr="00344974">
              <w:rPr>
                <w:rStyle w:val="Hyperlink"/>
                <w:rFonts w:asciiTheme="majorHAnsi" w:hAnsiTheme="majorHAnsi" w:cs="Arial"/>
                <w:bCs/>
                <w:iCs/>
                <w:noProof/>
                <w:sz w:val="20"/>
                <w:szCs w:val="20"/>
                <w:lang w:val="es-VE"/>
              </w:rPr>
              <w:t>Recurso</w:t>
            </w:r>
            <w:r w:rsidR="00344974" w:rsidRPr="00344974">
              <w:rPr>
                <w:rStyle w:val="Hyperlink"/>
                <w:rFonts w:asciiTheme="majorHAnsi" w:hAnsiTheme="majorHAnsi"/>
                <w:noProof/>
                <w:sz w:val="20"/>
                <w:szCs w:val="20"/>
                <w:lang w:val="es-CL"/>
              </w:rPr>
              <w:t xml:space="preserve"> de nulidad ante el CNM</w:t>
            </w:r>
            <w:r w:rsidR="00344974" w:rsidRPr="00344974">
              <w:rPr>
                <w:rFonts w:asciiTheme="majorHAnsi" w:hAnsiTheme="majorHAnsi"/>
                <w:noProof/>
                <w:webHidden/>
                <w:sz w:val="20"/>
                <w:szCs w:val="20"/>
              </w:rPr>
              <w:tab/>
            </w:r>
            <w:r w:rsidR="00344974" w:rsidRPr="00344974">
              <w:rPr>
                <w:rFonts w:asciiTheme="majorHAnsi" w:hAnsiTheme="majorHAnsi"/>
                <w:noProof/>
                <w:webHidden/>
                <w:sz w:val="20"/>
                <w:szCs w:val="20"/>
              </w:rPr>
              <w:fldChar w:fldCharType="begin"/>
            </w:r>
            <w:r w:rsidR="00344974" w:rsidRPr="00344974">
              <w:rPr>
                <w:rFonts w:asciiTheme="majorHAnsi" w:hAnsiTheme="majorHAnsi"/>
                <w:noProof/>
                <w:webHidden/>
                <w:sz w:val="20"/>
                <w:szCs w:val="20"/>
              </w:rPr>
              <w:instrText xml:space="preserve"> PAGEREF _Toc514247645 \h </w:instrText>
            </w:r>
            <w:r w:rsidR="00344974" w:rsidRPr="00344974">
              <w:rPr>
                <w:rFonts w:asciiTheme="majorHAnsi" w:hAnsiTheme="majorHAnsi"/>
                <w:noProof/>
                <w:webHidden/>
                <w:sz w:val="20"/>
                <w:szCs w:val="20"/>
              </w:rPr>
            </w:r>
            <w:r w:rsidR="00344974" w:rsidRPr="00344974">
              <w:rPr>
                <w:rFonts w:asciiTheme="majorHAnsi" w:hAnsiTheme="majorHAnsi"/>
                <w:noProof/>
                <w:webHidden/>
                <w:sz w:val="20"/>
                <w:szCs w:val="20"/>
              </w:rPr>
              <w:fldChar w:fldCharType="separate"/>
            </w:r>
            <w:r w:rsidR="00E11E8B">
              <w:rPr>
                <w:rFonts w:asciiTheme="majorHAnsi" w:hAnsiTheme="majorHAnsi"/>
                <w:noProof/>
                <w:webHidden/>
                <w:sz w:val="20"/>
                <w:szCs w:val="20"/>
              </w:rPr>
              <w:t>15</w:t>
            </w:r>
            <w:r w:rsidR="00344974" w:rsidRPr="00344974">
              <w:rPr>
                <w:rFonts w:asciiTheme="majorHAnsi" w:hAnsiTheme="majorHAnsi"/>
                <w:noProof/>
                <w:webHidden/>
                <w:sz w:val="20"/>
                <w:szCs w:val="20"/>
              </w:rPr>
              <w:fldChar w:fldCharType="end"/>
            </w:r>
          </w:hyperlink>
        </w:p>
        <w:p w14:paraId="2A211F63" w14:textId="53D46CBF" w:rsidR="00344974" w:rsidRPr="00344974" w:rsidRDefault="00991432">
          <w:pPr>
            <w:pStyle w:val="TOC1"/>
            <w:rPr>
              <w:rFonts w:eastAsiaTheme="minorEastAsia" w:cstheme="minorBidi"/>
              <w:b w:val="0"/>
              <w:bdr w:val="none" w:sz="0" w:space="0" w:color="auto"/>
            </w:rPr>
          </w:pPr>
          <w:hyperlink w:anchor="_Toc514247646" w:history="1">
            <w:r w:rsidR="00344974" w:rsidRPr="00344974">
              <w:rPr>
                <w:rStyle w:val="Hyperlink"/>
              </w:rPr>
              <w:t>IV.</w:t>
            </w:r>
            <w:r w:rsidR="00344974" w:rsidRPr="00344974">
              <w:rPr>
                <w:rFonts w:eastAsiaTheme="minorEastAsia" w:cstheme="minorBidi"/>
                <w:b w:val="0"/>
                <w:bdr w:val="none" w:sz="0" w:space="0" w:color="auto"/>
              </w:rPr>
              <w:tab/>
            </w:r>
            <w:r w:rsidR="00344974" w:rsidRPr="00344974">
              <w:rPr>
                <w:rStyle w:val="Hyperlink"/>
              </w:rPr>
              <w:t>ANÁLISIS DE DERECHO</w:t>
            </w:r>
            <w:r w:rsidR="00344974" w:rsidRPr="00344974">
              <w:rPr>
                <w:webHidden/>
              </w:rPr>
              <w:tab/>
            </w:r>
            <w:r w:rsidR="00344974" w:rsidRPr="00344974">
              <w:rPr>
                <w:webHidden/>
              </w:rPr>
              <w:fldChar w:fldCharType="begin"/>
            </w:r>
            <w:r w:rsidR="00344974" w:rsidRPr="00344974">
              <w:rPr>
                <w:webHidden/>
              </w:rPr>
              <w:instrText xml:space="preserve"> PAGEREF _Toc514247646 \h </w:instrText>
            </w:r>
            <w:r w:rsidR="00344974" w:rsidRPr="00344974">
              <w:rPr>
                <w:webHidden/>
              </w:rPr>
            </w:r>
            <w:r w:rsidR="00344974" w:rsidRPr="00344974">
              <w:rPr>
                <w:webHidden/>
              </w:rPr>
              <w:fldChar w:fldCharType="separate"/>
            </w:r>
            <w:r w:rsidR="00E11E8B">
              <w:rPr>
                <w:webHidden/>
              </w:rPr>
              <w:t>16</w:t>
            </w:r>
            <w:r w:rsidR="00344974" w:rsidRPr="00344974">
              <w:rPr>
                <w:webHidden/>
              </w:rPr>
              <w:fldChar w:fldCharType="end"/>
            </w:r>
          </w:hyperlink>
        </w:p>
        <w:p w14:paraId="53BDEFF5" w14:textId="5B92B8E1" w:rsidR="00344974" w:rsidRPr="00344974" w:rsidRDefault="00991432">
          <w:pPr>
            <w:pStyle w:val="TOC1"/>
            <w:rPr>
              <w:rFonts w:eastAsiaTheme="minorEastAsia" w:cstheme="minorBidi"/>
              <w:b w:val="0"/>
              <w:bdr w:val="none" w:sz="0" w:space="0" w:color="auto"/>
            </w:rPr>
          </w:pPr>
          <w:hyperlink w:anchor="_Toc514247647" w:history="1">
            <w:r w:rsidR="00344974" w:rsidRPr="00344974">
              <w:rPr>
                <w:rStyle w:val="Hyperlink"/>
                <w:lang w:val="es-CO"/>
              </w:rPr>
              <w:t>A.</w:t>
            </w:r>
            <w:r w:rsidR="00344974" w:rsidRPr="00344974">
              <w:rPr>
                <w:rFonts w:eastAsiaTheme="minorEastAsia" w:cstheme="minorBidi"/>
                <w:b w:val="0"/>
                <w:bdr w:val="none" w:sz="0" w:space="0" w:color="auto"/>
              </w:rPr>
              <w:tab/>
            </w:r>
            <w:r w:rsidR="00344974" w:rsidRPr="00344974">
              <w:rPr>
                <w:rStyle w:val="Hyperlink"/>
                <w:lang w:val="es-CO"/>
              </w:rPr>
              <w:t>Derecho a las garantías judiciales, principio de legalidad y protección judicial</w:t>
            </w:r>
            <w:r w:rsidR="00344974" w:rsidRPr="00344974">
              <w:rPr>
                <w:webHidden/>
              </w:rPr>
              <w:tab/>
            </w:r>
            <w:r w:rsidR="00344974" w:rsidRPr="00344974">
              <w:rPr>
                <w:webHidden/>
              </w:rPr>
              <w:fldChar w:fldCharType="begin"/>
            </w:r>
            <w:r w:rsidR="00344974" w:rsidRPr="00344974">
              <w:rPr>
                <w:webHidden/>
              </w:rPr>
              <w:instrText xml:space="preserve"> PAGEREF _Toc514247647 \h </w:instrText>
            </w:r>
            <w:r w:rsidR="00344974" w:rsidRPr="00344974">
              <w:rPr>
                <w:webHidden/>
              </w:rPr>
            </w:r>
            <w:r w:rsidR="00344974" w:rsidRPr="00344974">
              <w:rPr>
                <w:webHidden/>
              </w:rPr>
              <w:fldChar w:fldCharType="separate"/>
            </w:r>
            <w:r w:rsidR="00E11E8B">
              <w:rPr>
                <w:webHidden/>
              </w:rPr>
              <w:t>16</w:t>
            </w:r>
            <w:r w:rsidR="00344974" w:rsidRPr="00344974">
              <w:rPr>
                <w:webHidden/>
              </w:rPr>
              <w:fldChar w:fldCharType="end"/>
            </w:r>
          </w:hyperlink>
        </w:p>
        <w:p w14:paraId="38AB5F6C" w14:textId="646A66C3" w:rsidR="00344974" w:rsidRPr="00344974" w:rsidRDefault="00991432">
          <w:pPr>
            <w:pStyle w:val="TOC3"/>
            <w:tabs>
              <w:tab w:val="left" w:pos="2160"/>
            </w:tabs>
            <w:rPr>
              <w:rFonts w:asciiTheme="majorHAnsi" w:eastAsiaTheme="minorEastAsia" w:hAnsiTheme="majorHAnsi" w:cstheme="minorBidi"/>
              <w:noProof/>
              <w:sz w:val="20"/>
              <w:szCs w:val="20"/>
              <w:bdr w:val="none" w:sz="0" w:space="0" w:color="auto"/>
            </w:rPr>
          </w:pPr>
          <w:hyperlink w:anchor="_Toc514247648" w:history="1">
            <w:r w:rsidR="00344974" w:rsidRPr="00344974">
              <w:rPr>
                <w:rStyle w:val="Hyperlink"/>
                <w:rFonts w:asciiTheme="majorHAnsi" w:hAnsiTheme="majorHAnsi"/>
                <w:noProof/>
                <w:sz w:val="20"/>
                <w:szCs w:val="20"/>
                <w:lang w:val="es-CO"/>
              </w:rPr>
              <w:t>1.</w:t>
            </w:r>
            <w:r w:rsidR="00344974" w:rsidRPr="00344974">
              <w:rPr>
                <w:rFonts w:asciiTheme="majorHAnsi" w:eastAsiaTheme="minorEastAsia" w:hAnsiTheme="majorHAnsi" w:cstheme="minorBidi"/>
                <w:noProof/>
                <w:sz w:val="20"/>
                <w:szCs w:val="20"/>
                <w:bdr w:val="none" w:sz="0" w:space="0" w:color="auto"/>
              </w:rPr>
              <w:tab/>
            </w:r>
            <w:r w:rsidR="00344974" w:rsidRPr="00344974">
              <w:rPr>
                <w:rStyle w:val="Hyperlink"/>
                <w:rFonts w:asciiTheme="majorHAnsi" w:hAnsiTheme="majorHAnsi"/>
                <w:noProof/>
                <w:sz w:val="20"/>
                <w:szCs w:val="20"/>
                <w:lang w:val="es-ES"/>
              </w:rPr>
              <w:t>Consideraciones generales sobre las garantías aplicables</w:t>
            </w:r>
            <w:r w:rsidR="00344974" w:rsidRPr="00344974">
              <w:rPr>
                <w:rFonts w:asciiTheme="majorHAnsi" w:hAnsiTheme="majorHAnsi"/>
                <w:noProof/>
                <w:webHidden/>
                <w:sz w:val="20"/>
                <w:szCs w:val="20"/>
              </w:rPr>
              <w:tab/>
            </w:r>
            <w:r w:rsidR="00344974" w:rsidRPr="00344974">
              <w:rPr>
                <w:rFonts w:asciiTheme="majorHAnsi" w:hAnsiTheme="majorHAnsi"/>
                <w:noProof/>
                <w:webHidden/>
                <w:sz w:val="20"/>
                <w:szCs w:val="20"/>
              </w:rPr>
              <w:fldChar w:fldCharType="begin"/>
            </w:r>
            <w:r w:rsidR="00344974" w:rsidRPr="00344974">
              <w:rPr>
                <w:rFonts w:asciiTheme="majorHAnsi" w:hAnsiTheme="majorHAnsi"/>
                <w:noProof/>
                <w:webHidden/>
                <w:sz w:val="20"/>
                <w:szCs w:val="20"/>
              </w:rPr>
              <w:instrText xml:space="preserve"> PAGEREF _Toc514247648 \h </w:instrText>
            </w:r>
            <w:r w:rsidR="00344974" w:rsidRPr="00344974">
              <w:rPr>
                <w:rFonts w:asciiTheme="majorHAnsi" w:hAnsiTheme="majorHAnsi"/>
                <w:noProof/>
                <w:webHidden/>
                <w:sz w:val="20"/>
                <w:szCs w:val="20"/>
              </w:rPr>
            </w:r>
            <w:r w:rsidR="00344974" w:rsidRPr="00344974">
              <w:rPr>
                <w:rFonts w:asciiTheme="majorHAnsi" w:hAnsiTheme="majorHAnsi"/>
                <w:noProof/>
                <w:webHidden/>
                <w:sz w:val="20"/>
                <w:szCs w:val="20"/>
              </w:rPr>
              <w:fldChar w:fldCharType="separate"/>
            </w:r>
            <w:r w:rsidR="00E11E8B">
              <w:rPr>
                <w:rFonts w:asciiTheme="majorHAnsi" w:hAnsiTheme="majorHAnsi"/>
                <w:noProof/>
                <w:webHidden/>
                <w:sz w:val="20"/>
                <w:szCs w:val="20"/>
              </w:rPr>
              <w:t>16</w:t>
            </w:r>
            <w:r w:rsidR="00344974" w:rsidRPr="00344974">
              <w:rPr>
                <w:rFonts w:asciiTheme="majorHAnsi" w:hAnsiTheme="majorHAnsi"/>
                <w:noProof/>
                <w:webHidden/>
                <w:sz w:val="20"/>
                <w:szCs w:val="20"/>
              </w:rPr>
              <w:fldChar w:fldCharType="end"/>
            </w:r>
          </w:hyperlink>
        </w:p>
        <w:p w14:paraId="21788EC6" w14:textId="3C4047D7" w:rsidR="00344974" w:rsidRPr="00344974" w:rsidRDefault="00991432">
          <w:pPr>
            <w:pStyle w:val="TOC3"/>
            <w:tabs>
              <w:tab w:val="left" w:pos="2160"/>
            </w:tabs>
            <w:rPr>
              <w:rFonts w:asciiTheme="majorHAnsi" w:eastAsiaTheme="minorEastAsia" w:hAnsiTheme="majorHAnsi" w:cstheme="minorBidi"/>
              <w:noProof/>
              <w:sz w:val="20"/>
              <w:szCs w:val="20"/>
              <w:bdr w:val="none" w:sz="0" w:space="0" w:color="auto"/>
            </w:rPr>
          </w:pPr>
          <w:hyperlink w:anchor="_Toc514247649" w:history="1">
            <w:r w:rsidR="00344974" w:rsidRPr="00344974">
              <w:rPr>
                <w:rStyle w:val="Hyperlink"/>
                <w:rFonts w:asciiTheme="majorHAnsi" w:hAnsiTheme="majorHAnsi"/>
                <w:noProof/>
                <w:sz w:val="20"/>
                <w:szCs w:val="20"/>
                <w:lang w:val="es-CO"/>
              </w:rPr>
              <w:t>2.</w:t>
            </w:r>
            <w:r w:rsidR="00344974" w:rsidRPr="00344974">
              <w:rPr>
                <w:rFonts w:asciiTheme="majorHAnsi" w:eastAsiaTheme="minorEastAsia" w:hAnsiTheme="majorHAnsi" w:cstheme="minorBidi"/>
                <w:noProof/>
                <w:sz w:val="20"/>
                <w:szCs w:val="20"/>
                <w:bdr w:val="none" w:sz="0" w:space="0" w:color="auto"/>
              </w:rPr>
              <w:tab/>
            </w:r>
            <w:r w:rsidR="00344974" w:rsidRPr="00344974">
              <w:rPr>
                <w:rStyle w:val="Hyperlink"/>
                <w:rFonts w:asciiTheme="majorHAnsi" w:hAnsiTheme="majorHAnsi"/>
                <w:noProof/>
                <w:sz w:val="20"/>
                <w:szCs w:val="20"/>
                <w:lang w:val="es-ES"/>
              </w:rPr>
              <w:t>Los principios de legalidad y favorabilidad</w:t>
            </w:r>
            <w:r w:rsidR="00344974" w:rsidRPr="00344974">
              <w:rPr>
                <w:rFonts w:asciiTheme="majorHAnsi" w:hAnsiTheme="majorHAnsi"/>
                <w:noProof/>
                <w:webHidden/>
                <w:sz w:val="20"/>
                <w:szCs w:val="20"/>
              </w:rPr>
              <w:tab/>
            </w:r>
            <w:r w:rsidR="00344974" w:rsidRPr="00344974">
              <w:rPr>
                <w:rFonts w:asciiTheme="majorHAnsi" w:hAnsiTheme="majorHAnsi"/>
                <w:noProof/>
                <w:webHidden/>
                <w:sz w:val="20"/>
                <w:szCs w:val="20"/>
              </w:rPr>
              <w:fldChar w:fldCharType="begin"/>
            </w:r>
            <w:r w:rsidR="00344974" w:rsidRPr="00344974">
              <w:rPr>
                <w:rFonts w:asciiTheme="majorHAnsi" w:hAnsiTheme="majorHAnsi"/>
                <w:noProof/>
                <w:webHidden/>
                <w:sz w:val="20"/>
                <w:szCs w:val="20"/>
              </w:rPr>
              <w:instrText xml:space="preserve"> PAGEREF _Toc514247649 \h </w:instrText>
            </w:r>
            <w:r w:rsidR="00344974" w:rsidRPr="00344974">
              <w:rPr>
                <w:rFonts w:asciiTheme="majorHAnsi" w:hAnsiTheme="majorHAnsi"/>
                <w:noProof/>
                <w:webHidden/>
                <w:sz w:val="20"/>
                <w:szCs w:val="20"/>
              </w:rPr>
            </w:r>
            <w:r w:rsidR="00344974" w:rsidRPr="00344974">
              <w:rPr>
                <w:rFonts w:asciiTheme="majorHAnsi" w:hAnsiTheme="majorHAnsi"/>
                <w:noProof/>
                <w:webHidden/>
                <w:sz w:val="20"/>
                <w:szCs w:val="20"/>
              </w:rPr>
              <w:fldChar w:fldCharType="separate"/>
            </w:r>
            <w:r w:rsidR="00E11E8B">
              <w:rPr>
                <w:rFonts w:asciiTheme="majorHAnsi" w:hAnsiTheme="majorHAnsi"/>
                <w:noProof/>
                <w:webHidden/>
                <w:sz w:val="20"/>
                <w:szCs w:val="20"/>
              </w:rPr>
              <w:t>17</w:t>
            </w:r>
            <w:r w:rsidR="00344974" w:rsidRPr="00344974">
              <w:rPr>
                <w:rFonts w:asciiTheme="majorHAnsi" w:hAnsiTheme="majorHAnsi"/>
                <w:noProof/>
                <w:webHidden/>
                <w:sz w:val="20"/>
                <w:szCs w:val="20"/>
              </w:rPr>
              <w:fldChar w:fldCharType="end"/>
            </w:r>
          </w:hyperlink>
        </w:p>
        <w:p w14:paraId="290A01EC" w14:textId="689CAEB4" w:rsidR="00344974" w:rsidRPr="00344974" w:rsidRDefault="00991432">
          <w:pPr>
            <w:pStyle w:val="TOC3"/>
            <w:tabs>
              <w:tab w:val="left" w:pos="2160"/>
            </w:tabs>
            <w:rPr>
              <w:rFonts w:asciiTheme="majorHAnsi" w:eastAsiaTheme="minorEastAsia" w:hAnsiTheme="majorHAnsi" w:cstheme="minorBidi"/>
              <w:noProof/>
              <w:sz w:val="20"/>
              <w:szCs w:val="20"/>
              <w:bdr w:val="none" w:sz="0" w:space="0" w:color="auto"/>
            </w:rPr>
          </w:pPr>
          <w:hyperlink w:anchor="_Toc514247650" w:history="1">
            <w:r w:rsidR="00344974" w:rsidRPr="00344974">
              <w:rPr>
                <w:rStyle w:val="Hyperlink"/>
                <w:rFonts w:asciiTheme="majorHAnsi" w:hAnsiTheme="majorHAnsi"/>
                <w:noProof/>
                <w:sz w:val="20"/>
                <w:szCs w:val="20"/>
                <w:lang w:val="es-CO"/>
              </w:rPr>
              <w:t>3.</w:t>
            </w:r>
            <w:r w:rsidR="00344974" w:rsidRPr="00344974">
              <w:rPr>
                <w:rFonts w:asciiTheme="majorHAnsi" w:eastAsiaTheme="minorEastAsia" w:hAnsiTheme="majorHAnsi" w:cstheme="minorBidi"/>
                <w:noProof/>
                <w:sz w:val="20"/>
                <w:szCs w:val="20"/>
                <w:bdr w:val="none" w:sz="0" w:space="0" w:color="auto"/>
              </w:rPr>
              <w:tab/>
            </w:r>
            <w:r w:rsidR="00344974" w:rsidRPr="00344974">
              <w:rPr>
                <w:rStyle w:val="Hyperlink"/>
                <w:rFonts w:asciiTheme="majorHAnsi" w:hAnsiTheme="majorHAnsi"/>
                <w:noProof/>
                <w:sz w:val="20"/>
                <w:szCs w:val="20"/>
                <w:lang w:val="es-ES"/>
              </w:rPr>
              <w:t>El principio de independencia judicial y el derecho a contar con decisiones debidamente motivadas</w:t>
            </w:r>
            <w:r w:rsidR="00344974" w:rsidRPr="00344974">
              <w:rPr>
                <w:rFonts w:asciiTheme="majorHAnsi" w:hAnsiTheme="majorHAnsi"/>
                <w:noProof/>
                <w:webHidden/>
                <w:sz w:val="20"/>
                <w:szCs w:val="20"/>
              </w:rPr>
              <w:tab/>
            </w:r>
            <w:r w:rsidR="00344974" w:rsidRPr="00344974">
              <w:rPr>
                <w:rFonts w:asciiTheme="majorHAnsi" w:hAnsiTheme="majorHAnsi"/>
                <w:noProof/>
                <w:webHidden/>
                <w:sz w:val="20"/>
                <w:szCs w:val="20"/>
              </w:rPr>
              <w:fldChar w:fldCharType="begin"/>
            </w:r>
            <w:r w:rsidR="00344974" w:rsidRPr="00344974">
              <w:rPr>
                <w:rFonts w:asciiTheme="majorHAnsi" w:hAnsiTheme="majorHAnsi"/>
                <w:noProof/>
                <w:webHidden/>
                <w:sz w:val="20"/>
                <w:szCs w:val="20"/>
              </w:rPr>
              <w:instrText xml:space="preserve"> PAGEREF _Toc514247650 \h </w:instrText>
            </w:r>
            <w:r w:rsidR="00344974" w:rsidRPr="00344974">
              <w:rPr>
                <w:rFonts w:asciiTheme="majorHAnsi" w:hAnsiTheme="majorHAnsi"/>
                <w:noProof/>
                <w:webHidden/>
                <w:sz w:val="20"/>
                <w:szCs w:val="20"/>
              </w:rPr>
            </w:r>
            <w:r w:rsidR="00344974" w:rsidRPr="00344974">
              <w:rPr>
                <w:rFonts w:asciiTheme="majorHAnsi" w:hAnsiTheme="majorHAnsi"/>
                <w:noProof/>
                <w:webHidden/>
                <w:sz w:val="20"/>
                <w:szCs w:val="20"/>
              </w:rPr>
              <w:fldChar w:fldCharType="separate"/>
            </w:r>
            <w:r w:rsidR="00E11E8B">
              <w:rPr>
                <w:rFonts w:asciiTheme="majorHAnsi" w:hAnsiTheme="majorHAnsi"/>
                <w:noProof/>
                <w:webHidden/>
                <w:sz w:val="20"/>
                <w:szCs w:val="20"/>
              </w:rPr>
              <w:t>20</w:t>
            </w:r>
            <w:r w:rsidR="00344974" w:rsidRPr="00344974">
              <w:rPr>
                <w:rFonts w:asciiTheme="majorHAnsi" w:hAnsiTheme="majorHAnsi"/>
                <w:noProof/>
                <w:webHidden/>
                <w:sz w:val="20"/>
                <w:szCs w:val="20"/>
              </w:rPr>
              <w:fldChar w:fldCharType="end"/>
            </w:r>
          </w:hyperlink>
        </w:p>
        <w:p w14:paraId="7FF872DA" w14:textId="051A59EF" w:rsidR="00344974" w:rsidRPr="00344974" w:rsidRDefault="00991432">
          <w:pPr>
            <w:pStyle w:val="TOC3"/>
            <w:tabs>
              <w:tab w:val="left" w:pos="2160"/>
            </w:tabs>
            <w:rPr>
              <w:rFonts w:asciiTheme="majorHAnsi" w:eastAsiaTheme="minorEastAsia" w:hAnsiTheme="majorHAnsi" w:cstheme="minorBidi"/>
              <w:noProof/>
              <w:sz w:val="20"/>
              <w:szCs w:val="20"/>
              <w:bdr w:val="none" w:sz="0" w:space="0" w:color="auto"/>
            </w:rPr>
          </w:pPr>
          <w:hyperlink w:anchor="_Toc514247651" w:history="1">
            <w:r w:rsidR="00344974" w:rsidRPr="00344974">
              <w:rPr>
                <w:rStyle w:val="Hyperlink"/>
                <w:rFonts w:asciiTheme="majorHAnsi" w:hAnsiTheme="majorHAnsi"/>
                <w:noProof/>
                <w:sz w:val="20"/>
                <w:szCs w:val="20"/>
                <w:lang w:val="es-CO"/>
              </w:rPr>
              <w:t>4.</w:t>
            </w:r>
            <w:r w:rsidR="00344974" w:rsidRPr="00344974">
              <w:rPr>
                <w:rFonts w:asciiTheme="majorHAnsi" w:eastAsiaTheme="minorEastAsia" w:hAnsiTheme="majorHAnsi" w:cstheme="minorBidi"/>
                <w:noProof/>
                <w:sz w:val="20"/>
                <w:szCs w:val="20"/>
                <w:bdr w:val="none" w:sz="0" w:space="0" w:color="auto"/>
              </w:rPr>
              <w:tab/>
            </w:r>
            <w:r w:rsidR="00344974" w:rsidRPr="00344974">
              <w:rPr>
                <w:rStyle w:val="Hyperlink"/>
                <w:rFonts w:asciiTheme="majorHAnsi" w:hAnsiTheme="majorHAnsi"/>
                <w:noProof/>
                <w:sz w:val="20"/>
                <w:szCs w:val="20"/>
                <w:lang w:val="es-CO"/>
              </w:rPr>
              <w:t>El derecho</w:t>
            </w:r>
            <w:r w:rsidR="00344974" w:rsidRPr="00344974">
              <w:rPr>
                <w:rStyle w:val="Hyperlink"/>
                <w:rFonts w:asciiTheme="majorHAnsi" w:hAnsiTheme="majorHAnsi"/>
                <w:noProof/>
                <w:sz w:val="20"/>
                <w:szCs w:val="20"/>
                <w:lang w:val="es-VE"/>
              </w:rPr>
              <w:t xml:space="preserve"> a recurrir el fallo y el derecho a la protección judicial</w:t>
            </w:r>
            <w:r w:rsidR="00344974" w:rsidRPr="00344974">
              <w:rPr>
                <w:rFonts w:asciiTheme="majorHAnsi" w:hAnsiTheme="majorHAnsi"/>
                <w:noProof/>
                <w:webHidden/>
                <w:sz w:val="20"/>
                <w:szCs w:val="20"/>
              </w:rPr>
              <w:tab/>
            </w:r>
            <w:r w:rsidR="00344974" w:rsidRPr="00344974">
              <w:rPr>
                <w:rFonts w:asciiTheme="majorHAnsi" w:hAnsiTheme="majorHAnsi"/>
                <w:noProof/>
                <w:webHidden/>
                <w:sz w:val="20"/>
                <w:szCs w:val="20"/>
              </w:rPr>
              <w:fldChar w:fldCharType="begin"/>
            </w:r>
            <w:r w:rsidR="00344974" w:rsidRPr="00344974">
              <w:rPr>
                <w:rFonts w:asciiTheme="majorHAnsi" w:hAnsiTheme="majorHAnsi"/>
                <w:noProof/>
                <w:webHidden/>
                <w:sz w:val="20"/>
                <w:szCs w:val="20"/>
              </w:rPr>
              <w:instrText xml:space="preserve"> PAGEREF _Toc514247651 \h </w:instrText>
            </w:r>
            <w:r w:rsidR="00344974" w:rsidRPr="00344974">
              <w:rPr>
                <w:rFonts w:asciiTheme="majorHAnsi" w:hAnsiTheme="majorHAnsi"/>
                <w:noProof/>
                <w:webHidden/>
                <w:sz w:val="20"/>
                <w:szCs w:val="20"/>
              </w:rPr>
            </w:r>
            <w:r w:rsidR="00344974" w:rsidRPr="00344974">
              <w:rPr>
                <w:rFonts w:asciiTheme="majorHAnsi" w:hAnsiTheme="majorHAnsi"/>
                <w:noProof/>
                <w:webHidden/>
                <w:sz w:val="20"/>
                <w:szCs w:val="20"/>
              </w:rPr>
              <w:fldChar w:fldCharType="separate"/>
            </w:r>
            <w:r w:rsidR="00E11E8B">
              <w:rPr>
                <w:rFonts w:asciiTheme="majorHAnsi" w:hAnsiTheme="majorHAnsi"/>
                <w:noProof/>
                <w:webHidden/>
                <w:sz w:val="20"/>
                <w:szCs w:val="20"/>
              </w:rPr>
              <w:t>21</w:t>
            </w:r>
            <w:r w:rsidR="00344974" w:rsidRPr="00344974">
              <w:rPr>
                <w:rFonts w:asciiTheme="majorHAnsi" w:hAnsiTheme="majorHAnsi"/>
                <w:noProof/>
                <w:webHidden/>
                <w:sz w:val="20"/>
                <w:szCs w:val="20"/>
              </w:rPr>
              <w:fldChar w:fldCharType="end"/>
            </w:r>
          </w:hyperlink>
        </w:p>
        <w:p w14:paraId="795B1745" w14:textId="0D086163" w:rsidR="00344974" w:rsidRPr="00344974" w:rsidRDefault="00991432">
          <w:pPr>
            <w:pStyle w:val="TOC1"/>
            <w:rPr>
              <w:rFonts w:eastAsiaTheme="minorEastAsia" w:cstheme="minorBidi"/>
              <w:b w:val="0"/>
              <w:bdr w:val="none" w:sz="0" w:space="0" w:color="auto"/>
            </w:rPr>
          </w:pPr>
          <w:hyperlink w:anchor="_Toc514247652" w:history="1">
            <w:r w:rsidR="00344974" w:rsidRPr="00344974">
              <w:rPr>
                <w:rStyle w:val="Hyperlink"/>
                <w:lang w:val="es-ES"/>
              </w:rPr>
              <w:t>B.</w:t>
            </w:r>
            <w:r w:rsidR="00344974" w:rsidRPr="00344974">
              <w:rPr>
                <w:rFonts w:eastAsiaTheme="minorEastAsia" w:cstheme="minorBidi"/>
                <w:b w:val="0"/>
                <w:bdr w:val="none" w:sz="0" w:space="0" w:color="auto"/>
              </w:rPr>
              <w:tab/>
            </w:r>
            <w:r w:rsidR="00344974" w:rsidRPr="00344974">
              <w:rPr>
                <w:rStyle w:val="Hyperlink"/>
                <w:lang w:val="es-ES"/>
              </w:rPr>
              <w:t>Los derechos políticos (Artículo 23 de la Convención)</w:t>
            </w:r>
            <w:r w:rsidR="00344974" w:rsidRPr="00344974">
              <w:rPr>
                <w:webHidden/>
              </w:rPr>
              <w:tab/>
            </w:r>
            <w:r w:rsidR="00344974" w:rsidRPr="00344974">
              <w:rPr>
                <w:webHidden/>
              </w:rPr>
              <w:fldChar w:fldCharType="begin"/>
            </w:r>
            <w:r w:rsidR="00344974" w:rsidRPr="00344974">
              <w:rPr>
                <w:webHidden/>
              </w:rPr>
              <w:instrText xml:space="preserve"> PAGEREF _Toc514247652 \h </w:instrText>
            </w:r>
            <w:r w:rsidR="00344974" w:rsidRPr="00344974">
              <w:rPr>
                <w:webHidden/>
              </w:rPr>
            </w:r>
            <w:r w:rsidR="00344974" w:rsidRPr="00344974">
              <w:rPr>
                <w:webHidden/>
              </w:rPr>
              <w:fldChar w:fldCharType="separate"/>
            </w:r>
            <w:r w:rsidR="00E11E8B">
              <w:rPr>
                <w:webHidden/>
              </w:rPr>
              <w:t>22</w:t>
            </w:r>
            <w:r w:rsidR="00344974" w:rsidRPr="00344974">
              <w:rPr>
                <w:webHidden/>
              </w:rPr>
              <w:fldChar w:fldCharType="end"/>
            </w:r>
          </w:hyperlink>
        </w:p>
        <w:p w14:paraId="3698987F" w14:textId="56719A08" w:rsidR="00344974" w:rsidRPr="00344974" w:rsidRDefault="00991432">
          <w:pPr>
            <w:pStyle w:val="TOC1"/>
            <w:rPr>
              <w:rFonts w:eastAsiaTheme="minorEastAsia" w:cstheme="minorBidi"/>
              <w:b w:val="0"/>
              <w:bdr w:val="none" w:sz="0" w:space="0" w:color="auto"/>
            </w:rPr>
          </w:pPr>
          <w:hyperlink w:anchor="_Toc514247653" w:history="1">
            <w:r w:rsidR="00344974" w:rsidRPr="00344974">
              <w:rPr>
                <w:rStyle w:val="Hyperlink"/>
              </w:rPr>
              <w:t>V.</w:t>
            </w:r>
            <w:r w:rsidR="00344974" w:rsidRPr="00344974">
              <w:rPr>
                <w:rFonts w:eastAsiaTheme="minorEastAsia" w:cstheme="minorBidi"/>
                <w:b w:val="0"/>
                <w:bdr w:val="none" w:sz="0" w:space="0" w:color="auto"/>
              </w:rPr>
              <w:tab/>
            </w:r>
            <w:r w:rsidR="00344974" w:rsidRPr="00344974">
              <w:rPr>
                <w:rStyle w:val="Hyperlink"/>
              </w:rPr>
              <w:t>CONCLUSIONES</w:t>
            </w:r>
            <w:r w:rsidR="00344974" w:rsidRPr="00344974">
              <w:rPr>
                <w:webHidden/>
              </w:rPr>
              <w:tab/>
            </w:r>
            <w:r w:rsidR="00344974" w:rsidRPr="00344974">
              <w:rPr>
                <w:webHidden/>
              </w:rPr>
              <w:fldChar w:fldCharType="begin"/>
            </w:r>
            <w:r w:rsidR="00344974" w:rsidRPr="00344974">
              <w:rPr>
                <w:webHidden/>
              </w:rPr>
              <w:instrText xml:space="preserve"> PAGEREF _Toc514247653 \h </w:instrText>
            </w:r>
            <w:r w:rsidR="00344974" w:rsidRPr="00344974">
              <w:rPr>
                <w:webHidden/>
              </w:rPr>
            </w:r>
            <w:r w:rsidR="00344974" w:rsidRPr="00344974">
              <w:rPr>
                <w:webHidden/>
              </w:rPr>
              <w:fldChar w:fldCharType="separate"/>
            </w:r>
            <w:r w:rsidR="00E11E8B">
              <w:rPr>
                <w:webHidden/>
              </w:rPr>
              <w:t>23</w:t>
            </w:r>
            <w:r w:rsidR="00344974" w:rsidRPr="00344974">
              <w:rPr>
                <w:webHidden/>
              </w:rPr>
              <w:fldChar w:fldCharType="end"/>
            </w:r>
          </w:hyperlink>
        </w:p>
        <w:p w14:paraId="171EFF4E" w14:textId="27CA8440" w:rsidR="00344974" w:rsidRPr="00344974" w:rsidRDefault="00991432">
          <w:pPr>
            <w:pStyle w:val="TOC1"/>
            <w:rPr>
              <w:rFonts w:eastAsiaTheme="minorEastAsia" w:cstheme="minorBidi"/>
              <w:b w:val="0"/>
              <w:bdr w:val="none" w:sz="0" w:space="0" w:color="auto"/>
            </w:rPr>
          </w:pPr>
          <w:hyperlink w:anchor="_Toc514247654" w:history="1">
            <w:r w:rsidR="00344974" w:rsidRPr="00344974">
              <w:rPr>
                <w:rStyle w:val="Hyperlink"/>
              </w:rPr>
              <w:t>VI.</w:t>
            </w:r>
            <w:r w:rsidR="00344974" w:rsidRPr="00344974">
              <w:rPr>
                <w:rFonts w:eastAsiaTheme="minorEastAsia" w:cstheme="minorBidi"/>
                <w:b w:val="0"/>
                <w:bdr w:val="none" w:sz="0" w:space="0" w:color="auto"/>
              </w:rPr>
              <w:tab/>
            </w:r>
            <w:r w:rsidR="00344974" w:rsidRPr="00344974">
              <w:rPr>
                <w:rStyle w:val="Hyperlink"/>
              </w:rPr>
              <w:t>RECOMENDACIONES</w:t>
            </w:r>
            <w:r w:rsidR="00344974" w:rsidRPr="00344974">
              <w:rPr>
                <w:webHidden/>
              </w:rPr>
              <w:tab/>
            </w:r>
            <w:r w:rsidR="00344974" w:rsidRPr="00344974">
              <w:rPr>
                <w:webHidden/>
              </w:rPr>
              <w:fldChar w:fldCharType="begin"/>
            </w:r>
            <w:r w:rsidR="00344974" w:rsidRPr="00344974">
              <w:rPr>
                <w:webHidden/>
              </w:rPr>
              <w:instrText xml:space="preserve"> PAGEREF _Toc514247654 \h </w:instrText>
            </w:r>
            <w:r w:rsidR="00344974" w:rsidRPr="00344974">
              <w:rPr>
                <w:webHidden/>
              </w:rPr>
            </w:r>
            <w:r w:rsidR="00344974" w:rsidRPr="00344974">
              <w:rPr>
                <w:webHidden/>
              </w:rPr>
              <w:fldChar w:fldCharType="separate"/>
            </w:r>
            <w:r w:rsidR="00E11E8B">
              <w:rPr>
                <w:webHidden/>
              </w:rPr>
              <w:t>23</w:t>
            </w:r>
            <w:r w:rsidR="00344974" w:rsidRPr="00344974">
              <w:rPr>
                <w:webHidden/>
              </w:rPr>
              <w:fldChar w:fldCharType="end"/>
            </w:r>
          </w:hyperlink>
        </w:p>
        <w:p w14:paraId="0A260AC0" w14:textId="77777777" w:rsidR="002E4C22" w:rsidRPr="00A321D3" w:rsidRDefault="002E4C22" w:rsidP="00975184">
          <w:pPr>
            <w:rPr>
              <w:rFonts w:asciiTheme="majorHAnsi" w:hAnsiTheme="majorHAnsi"/>
              <w:sz w:val="20"/>
              <w:szCs w:val="20"/>
            </w:rPr>
          </w:pPr>
          <w:r w:rsidRPr="00A321D3">
            <w:rPr>
              <w:rFonts w:asciiTheme="majorHAnsi" w:hAnsiTheme="majorHAnsi"/>
              <w:b/>
              <w:bCs/>
              <w:noProof/>
              <w:sz w:val="20"/>
              <w:szCs w:val="20"/>
            </w:rPr>
            <w:fldChar w:fldCharType="end"/>
          </w:r>
        </w:p>
      </w:sdtContent>
    </w:sdt>
    <w:p w14:paraId="70771754" w14:textId="77777777" w:rsidR="00C12DEE" w:rsidRPr="00A321D3" w:rsidRDefault="00C12DEE" w:rsidP="00975184">
      <w:pPr>
        <w:rPr>
          <w:rFonts w:asciiTheme="majorHAnsi" w:hAnsiTheme="majorHAnsi"/>
          <w:sz w:val="20"/>
          <w:szCs w:val="20"/>
          <w:lang w:val="es-VE"/>
        </w:rPr>
      </w:pPr>
    </w:p>
    <w:p w14:paraId="23C6D878" w14:textId="77777777" w:rsidR="00C12DEE" w:rsidRPr="00A321D3" w:rsidRDefault="00C12DEE" w:rsidP="00975184">
      <w:pPr>
        <w:rPr>
          <w:rFonts w:asciiTheme="majorHAnsi" w:hAnsiTheme="majorHAnsi"/>
          <w:sz w:val="20"/>
          <w:szCs w:val="20"/>
          <w:lang w:val="es-VE"/>
        </w:rPr>
      </w:pPr>
    </w:p>
    <w:p w14:paraId="1E6B3D40" w14:textId="77777777" w:rsidR="00C12DEE" w:rsidRPr="00A321D3" w:rsidRDefault="00014BFF" w:rsidP="00975184">
      <w:pPr>
        <w:rPr>
          <w:rFonts w:asciiTheme="majorHAnsi" w:hAnsiTheme="majorHAnsi"/>
          <w:sz w:val="20"/>
          <w:szCs w:val="20"/>
          <w:lang w:val="es-VE"/>
        </w:rPr>
      </w:pPr>
      <w:r w:rsidRPr="00A321D3">
        <w:rPr>
          <w:rFonts w:asciiTheme="majorHAnsi" w:hAnsiTheme="majorHAnsi"/>
          <w:sz w:val="20"/>
          <w:szCs w:val="20"/>
          <w:lang w:val="es-VE"/>
        </w:rPr>
        <w:br w:type="page"/>
      </w:r>
    </w:p>
    <w:p w14:paraId="131988EF" w14:textId="753FFCFC" w:rsidR="004B316C" w:rsidRPr="00A321D3" w:rsidRDefault="00B06C1C" w:rsidP="00975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r w:rsidRPr="00A321D3">
        <w:rPr>
          <w:rFonts w:asciiTheme="majorHAnsi" w:eastAsia="Times New Roman" w:hAnsiTheme="majorHAnsi"/>
          <w:b/>
          <w:sz w:val="20"/>
          <w:szCs w:val="20"/>
          <w:bdr w:val="none" w:sz="0" w:space="0" w:color="auto"/>
          <w:lang w:val="es-CO"/>
        </w:rPr>
        <w:t xml:space="preserve">INFORME No. </w:t>
      </w:r>
      <w:r w:rsidR="004B5EFB">
        <w:rPr>
          <w:rFonts w:asciiTheme="majorHAnsi" w:eastAsia="Times New Roman" w:hAnsiTheme="majorHAnsi"/>
          <w:b/>
          <w:sz w:val="20"/>
          <w:szCs w:val="20"/>
          <w:bdr w:val="none" w:sz="0" w:space="0" w:color="auto"/>
          <w:lang w:val="es-CO"/>
        </w:rPr>
        <w:t>115</w:t>
      </w:r>
      <w:r w:rsidR="00F674F4" w:rsidRPr="00A321D3">
        <w:rPr>
          <w:rFonts w:asciiTheme="majorHAnsi" w:eastAsia="Times New Roman" w:hAnsiTheme="majorHAnsi"/>
          <w:b/>
          <w:sz w:val="20"/>
          <w:szCs w:val="20"/>
          <w:bdr w:val="none" w:sz="0" w:space="0" w:color="auto"/>
          <w:lang w:val="es-CO"/>
        </w:rPr>
        <w:t>/1</w:t>
      </w:r>
      <w:r w:rsidR="00C35A95">
        <w:rPr>
          <w:rFonts w:asciiTheme="majorHAnsi" w:eastAsia="Times New Roman" w:hAnsiTheme="majorHAnsi"/>
          <w:b/>
          <w:sz w:val="20"/>
          <w:szCs w:val="20"/>
          <w:bdr w:val="none" w:sz="0" w:space="0" w:color="auto"/>
          <w:lang w:val="es-CO"/>
        </w:rPr>
        <w:t>8</w:t>
      </w:r>
    </w:p>
    <w:p w14:paraId="55A6F3A4" w14:textId="77777777" w:rsidR="004B316C" w:rsidRPr="00A321D3" w:rsidRDefault="00216290" w:rsidP="00975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b/>
          <w:sz w:val="20"/>
          <w:szCs w:val="20"/>
          <w:bdr w:val="none" w:sz="0" w:space="0" w:color="auto"/>
          <w:lang w:val="es-CO"/>
        </w:rPr>
      </w:pPr>
      <w:r w:rsidRPr="00A321D3">
        <w:rPr>
          <w:rFonts w:asciiTheme="majorHAnsi" w:eastAsia="Times New Roman" w:hAnsiTheme="majorHAnsi"/>
          <w:b/>
          <w:sz w:val="20"/>
          <w:szCs w:val="20"/>
          <w:bdr w:val="none" w:sz="0" w:space="0" w:color="auto"/>
          <w:lang w:val="es-CO"/>
        </w:rPr>
        <w:t>CASO 12.827</w:t>
      </w:r>
    </w:p>
    <w:p w14:paraId="00DDCAFA" w14:textId="77777777" w:rsidR="004B316C" w:rsidRPr="00A321D3" w:rsidRDefault="004B316C" w:rsidP="00975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sidRPr="00A321D3">
        <w:rPr>
          <w:rFonts w:asciiTheme="majorHAnsi" w:eastAsia="Times New Roman" w:hAnsiTheme="majorHAnsi"/>
          <w:sz w:val="20"/>
          <w:szCs w:val="20"/>
          <w:bdr w:val="none" w:sz="0" w:space="0" w:color="auto"/>
          <w:lang w:val="es-VE"/>
        </w:rPr>
        <w:t>FONDO</w:t>
      </w:r>
    </w:p>
    <w:p w14:paraId="57C0779D" w14:textId="77777777" w:rsidR="00B06C1C" w:rsidRPr="00A321D3" w:rsidRDefault="00216290" w:rsidP="00975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sidRPr="00A321D3">
        <w:rPr>
          <w:rFonts w:asciiTheme="majorHAnsi" w:eastAsia="Times New Roman" w:hAnsiTheme="majorHAnsi"/>
          <w:sz w:val="20"/>
          <w:szCs w:val="20"/>
          <w:bdr w:val="none" w:sz="0" w:space="0" w:color="auto"/>
          <w:lang w:val="es-VE"/>
        </w:rPr>
        <w:t>HÉCTOR FIDEL CORDERO BERNAL</w:t>
      </w:r>
    </w:p>
    <w:p w14:paraId="0DB9B4FB" w14:textId="77777777" w:rsidR="00B06C1C" w:rsidRPr="00A321D3" w:rsidRDefault="00F674F4" w:rsidP="00975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sidRPr="00A321D3">
        <w:rPr>
          <w:rFonts w:asciiTheme="majorHAnsi" w:eastAsia="Times New Roman" w:hAnsiTheme="majorHAnsi"/>
          <w:sz w:val="20"/>
          <w:szCs w:val="20"/>
          <w:bdr w:val="none" w:sz="0" w:space="0" w:color="auto"/>
          <w:lang w:val="es-VE"/>
        </w:rPr>
        <w:t>PERÚ</w:t>
      </w:r>
    </w:p>
    <w:p w14:paraId="2860B230" w14:textId="3658840D" w:rsidR="004B316C" w:rsidRPr="00A321D3" w:rsidRDefault="004B5EFB" w:rsidP="0097518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HAnsi" w:eastAsia="Times New Roman" w:hAnsiTheme="majorHAnsi"/>
          <w:sz w:val="20"/>
          <w:szCs w:val="20"/>
          <w:bdr w:val="none" w:sz="0" w:space="0" w:color="auto"/>
          <w:lang w:val="es-VE"/>
        </w:rPr>
      </w:pPr>
      <w:r>
        <w:rPr>
          <w:rFonts w:asciiTheme="majorHAnsi" w:eastAsia="Times New Roman" w:hAnsiTheme="majorHAnsi"/>
          <w:sz w:val="20"/>
          <w:szCs w:val="20"/>
          <w:bdr w:val="none" w:sz="0" w:space="0" w:color="auto"/>
          <w:lang w:val="es-VE"/>
        </w:rPr>
        <w:t>5</w:t>
      </w:r>
      <w:r w:rsidR="00B5326D" w:rsidRPr="00A321D3">
        <w:rPr>
          <w:rFonts w:asciiTheme="majorHAnsi" w:eastAsia="Times New Roman" w:hAnsiTheme="majorHAnsi"/>
          <w:sz w:val="20"/>
          <w:szCs w:val="20"/>
          <w:bdr w:val="none" w:sz="0" w:space="0" w:color="auto"/>
          <w:lang w:val="es-VE"/>
        </w:rPr>
        <w:t xml:space="preserve"> DE </w:t>
      </w:r>
      <w:r>
        <w:rPr>
          <w:rFonts w:asciiTheme="majorHAnsi" w:eastAsia="Times New Roman" w:hAnsiTheme="majorHAnsi"/>
          <w:sz w:val="20"/>
          <w:szCs w:val="20"/>
          <w:bdr w:val="none" w:sz="0" w:space="0" w:color="auto"/>
          <w:lang w:val="es-VE"/>
        </w:rPr>
        <w:t>OCTUBRE</w:t>
      </w:r>
      <w:r w:rsidR="004D6582" w:rsidRPr="00A321D3">
        <w:rPr>
          <w:rFonts w:asciiTheme="majorHAnsi" w:eastAsia="Times New Roman" w:hAnsiTheme="majorHAnsi"/>
          <w:sz w:val="20"/>
          <w:szCs w:val="20"/>
          <w:bdr w:val="none" w:sz="0" w:space="0" w:color="auto"/>
          <w:lang w:val="es-VE"/>
        </w:rPr>
        <w:t xml:space="preserve"> </w:t>
      </w:r>
      <w:r w:rsidR="00EB1199" w:rsidRPr="00A321D3">
        <w:rPr>
          <w:rFonts w:asciiTheme="majorHAnsi" w:eastAsia="Times New Roman" w:hAnsiTheme="majorHAnsi"/>
          <w:sz w:val="20"/>
          <w:szCs w:val="20"/>
          <w:bdr w:val="none" w:sz="0" w:space="0" w:color="auto"/>
          <w:lang w:val="es-VE"/>
        </w:rPr>
        <w:t>DE 201</w:t>
      </w:r>
      <w:r w:rsidR="008A0623" w:rsidRPr="00A321D3">
        <w:rPr>
          <w:rFonts w:asciiTheme="majorHAnsi" w:eastAsia="Times New Roman" w:hAnsiTheme="majorHAnsi"/>
          <w:sz w:val="20"/>
          <w:szCs w:val="20"/>
          <w:bdr w:val="none" w:sz="0" w:space="0" w:color="auto"/>
          <w:lang w:val="es-VE"/>
        </w:rPr>
        <w:t>8</w:t>
      </w:r>
    </w:p>
    <w:p w14:paraId="20A0AD56" w14:textId="77777777" w:rsidR="004B316C" w:rsidRPr="00A321D3" w:rsidRDefault="004B316C" w:rsidP="009751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VE"/>
        </w:rPr>
      </w:pPr>
    </w:p>
    <w:p w14:paraId="4F26842C" w14:textId="77777777" w:rsidR="00E40449" w:rsidRPr="00A321D3" w:rsidRDefault="00E40449" w:rsidP="00975184">
      <w:pPr>
        <w:pStyle w:val="Heading1"/>
        <w:keepLines/>
        <w:numPr>
          <w:ilvl w:val="0"/>
          <w:numId w:val="55"/>
        </w:numPr>
        <w:pBdr>
          <w:top w:val="nil"/>
          <w:left w:val="nil"/>
          <w:bottom w:val="nil"/>
          <w:right w:val="nil"/>
          <w:between w:val="nil"/>
          <w:bar w:val="nil"/>
        </w:pBdr>
        <w:tabs>
          <w:tab w:val="clear" w:pos="1440"/>
        </w:tabs>
        <w:ind w:left="720" w:firstLine="0"/>
        <w:rPr>
          <w:rFonts w:eastAsiaTheme="majorEastAsia" w:cstheme="majorBidi"/>
          <w:bCs/>
          <w:bdr w:val="nil"/>
          <w:lang w:val="es-VE"/>
        </w:rPr>
      </w:pPr>
      <w:bookmarkStart w:id="1" w:name="_Toc370840743"/>
      <w:bookmarkStart w:id="2" w:name="_Toc370840839"/>
      <w:bookmarkStart w:id="3" w:name="_Toc423514405"/>
      <w:bookmarkStart w:id="4" w:name="_Toc433115981"/>
      <w:bookmarkStart w:id="5" w:name="_Toc444958124"/>
      <w:bookmarkStart w:id="6" w:name="_Toc479004109"/>
      <w:bookmarkStart w:id="7" w:name="_Toc514247632"/>
      <w:r w:rsidRPr="00A321D3">
        <w:rPr>
          <w:rFonts w:eastAsiaTheme="majorEastAsia" w:cstheme="majorBidi"/>
          <w:bCs/>
          <w:bdr w:val="nil"/>
          <w:lang w:val="es-VE"/>
        </w:rPr>
        <w:t>RESUMEN</w:t>
      </w:r>
      <w:bookmarkEnd w:id="1"/>
      <w:bookmarkEnd w:id="2"/>
      <w:bookmarkEnd w:id="3"/>
      <w:bookmarkEnd w:id="4"/>
      <w:bookmarkEnd w:id="5"/>
      <w:bookmarkEnd w:id="6"/>
      <w:bookmarkEnd w:id="7"/>
    </w:p>
    <w:p w14:paraId="13A97436" w14:textId="77777777" w:rsidR="00E40449" w:rsidRPr="00A321D3" w:rsidRDefault="00E40449" w:rsidP="00975184">
      <w:pPr>
        <w:jc w:val="both"/>
        <w:rPr>
          <w:rFonts w:asciiTheme="majorHAnsi" w:hAnsiTheme="majorHAnsi" w:cs="Arial"/>
          <w:sz w:val="20"/>
          <w:szCs w:val="20"/>
          <w:lang w:val="es-ES"/>
        </w:rPr>
      </w:pPr>
    </w:p>
    <w:p w14:paraId="66DC087E" w14:textId="77777777" w:rsidR="00DE59B5" w:rsidRDefault="000D3883"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A321D3">
        <w:rPr>
          <w:rFonts w:asciiTheme="majorHAnsi" w:hAnsiTheme="majorHAnsi"/>
          <w:sz w:val="20"/>
          <w:szCs w:val="20"/>
          <w:lang w:val="es-VE"/>
        </w:rPr>
        <w:t>El 11 de noviembre de 1998 la Comisión Interamericana de Derechos Humanos (en adelante “la Comisión Interamericana”, “la Comisión” o “la CIDH”) recibió</w:t>
      </w:r>
      <w:r w:rsidR="006948EB" w:rsidRPr="00A321D3">
        <w:rPr>
          <w:rFonts w:asciiTheme="majorHAnsi" w:hAnsiTheme="majorHAnsi"/>
          <w:sz w:val="20"/>
          <w:szCs w:val="20"/>
          <w:lang w:val="es-VE"/>
        </w:rPr>
        <w:t xml:space="preserve"> una petición presentada por Héctor Fidel Cordero Bernal (</w:t>
      </w:r>
      <w:r w:rsidRPr="00A321D3">
        <w:rPr>
          <w:rFonts w:asciiTheme="majorHAnsi" w:hAnsiTheme="majorHAnsi"/>
          <w:sz w:val="20"/>
          <w:szCs w:val="20"/>
          <w:lang w:val="es-VE"/>
        </w:rPr>
        <w:t>en adelante “la parte peticionaria”)</w:t>
      </w:r>
      <w:r w:rsidR="00C75792" w:rsidRPr="00A321D3">
        <w:rPr>
          <w:rFonts w:asciiTheme="majorHAnsi" w:hAnsiTheme="majorHAnsi"/>
          <w:sz w:val="20"/>
          <w:szCs w:val="20"/>
          <w:lang w:val="es-VE"/>
        </w:rPr>
        <w:t xml:space="preserve"> en la cual</w:t>
      </w:r>
      <w:r w:rsidRPr="00A321D3">
        <w:rPr>
          <w:rFonts w:asciiTheme="majorHAnsi" w:hAnsiTheme="majorHAnsi"/>
          <w:sz w:val="20"/>
          <w:szCs w:val="20"/>
          <w:lang w:val="es-VE"/>
        </w:rPr>
        <w:t xml:space="preserve"> alega la responsabilidad internacional de </w:t>
      </w:r>
      <w:r w:rsidR="006948EB" w:rsidRPr="00A321D3">
        <w:rPr>
          <w:rFonts w:asciiTheme="majorHAnsi" w:hAnsiTheme="majorHAnsi"/>
          <w:sz w:val="20"/>
          <w:szCs w:val="20"/>
          <w:lang w:val="es-VE"/>
        </w:rPr>
        <w:t>la República del Perú (en adelante “el Estado peruano”, “el Estado” o “Perú</w:t>
      </w:r>
      <w:r w:rsidRPr="00A321D3">
        <w:rPr>
          <w:rFonts w:asciiTheme="majorHAnsi" w:hAnsiTheme="majorHAnsi"/>
          <w:sz w:val="20"/>
          <w:szCs w:val="20"/>
          <w:lang w:val="es-VE"/>
        </w:rPr>
        <w:t xml:space="preserve">”) en </w:t>
      </w:r>
      <w:r w:rsidR="00C75792" w:rsidRPr="00A321D3">
        <w:rPr>
          <w:rFonts w:asciiTheme="majorHAnsi" w:hAnsiTheme="majorHAnsi"/>
          <w:sz w:val="20"/>
          <w:szCs w:val="20"/>
          <w:lang w:val="es-VE"/>
        </w:rPr>
        <w:t xml:space="preserve">su </w:t>
      </w:r>
      <w:r w:rsidRPr="00A321D3">
        <w:rPr>
          <w:rFonts w:asciiTheme="majorHAnsi" w:hAnsiTheme="majorHAnsi"/>
          <w:sz w:val="20"/>
          <w:szCs w:val="20"/>
          <w:lang w:val="es-VE"/>
        </w:rPr>
        <w:t>perjuicio</w:t>
      </w:r>
      <w:r w:rsidR="00C75792" w:rsidRPr="00A321D3">
        <w:rPr>
          <w:rFonts w:asciiTheme="majorHAnsi" w:hAnsiTheme="majorHAnsi"/>
          <w:sz w:val="20"/>
          <w:szCs w:val="20"/>
          <w:lang w:val="es-VE"/>
        </w:rPr>
        <w:t>.</w:t>
      </w:r>
    </w:p>
    <w:p w14:paraId="223EB18D" w14:textId="77777777" w:rsidR="00DE59B5" w:rsidRDefault="00DE59B5"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VE"/>
        </w:rPr>
      </w:pPr>
    </w:p>
    <w:p w14:paraId="5A2E37A7" w14:textId="5E0423AE" w:rsidR="00DE59B5" w:rsidRPr="00DE59B5" w:rsidRDefault="008F74D7"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DE59B5">
        <w:rPr>
          <w:rFonts w:asciiTheme="majorHAnsi" w:hAnsiTheme="majorHAnsi"/>
          <w:color w:val="000000" w:themeColor="text1"/>
          <w:sz w:val="20"/>
          <w:szCs w:val="20"/>
          <w:lang w:val="es-VE"/>
        </w:rPr>
        <w:t xml:space="preserve">La Comisión aprobó el Informe de Admisibilidad No. 112/11 el 22 de julio </w:t>
      </w:r>
      <w:r w:rsidRPr="00DE59B5">
        <w:rPr>
          <w:rFonts w:asciiTheme="majorHAnsi" w:hAnsiTheme="majorHAnsi"/>
          <w:sz w:val="20"/>
          <w:szCs w:val="20"/>
          <w:lang w:val="es-VE"/>
        </w:rPr>
        <w:t xml:space="preserve">de 2011. El </w:t>
      </w:r>
      <w:r w:rsidRPr="00DE59B5">
        <w:rPr>
          <w:rFonts w:asciiTheme="majorHAnsi" w:hAnsiTheme="majorHAnsi"/>
          <w:sz w:val="20"/>
          <w:szCs w:val="20"/>
        </w:rPr>
        <w:t xml:space="preserve">9 de agosto de 2011 la Comisión notificó dicho informe a las partes y se puso a su disposición a fin de llegar a una solución amistosa sin que ambas partes manifestaran interés en dicho procedimiento. Las partes contaron con los plazos reglamentarios para presentar sus observaciones adicionales sobre el fondo. Toda la información recibida fue debidamente trasladada entre las partes. </w:t>
      </w:r>
    </w:p>
    <w:p w14:paraId="3A19DBCF" w14:textId="77777777" w:rsidR="00DE59B5" w:rsidRDefault="00DE59B5" w:rsidP="00975184">
      <w:pPr>
        <w:pStyle w:val="ListParagraph"/>
        <w:rPr>
          <w:rFonts w:asciiTheme="majorHAnsi" w:hAnsiTheme="majorHAnsi"/>
          <w:sz w:val="20"/>
          <w:szCs w:val="20"/>
          <w:lang w:val="es-CO"/>
        </w:rPr>
      </w:pPr>
    </w:p>
    <w:p w14:paraId="0D125B62" w14:textId="3DFE1B4C" w:rsidR="00DE59B5" w:rsidRPr="00DE59B5" w:rsidRDefault="00621F19"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DE59B5">
        <w:rPr>
          <w:rFonts w:asciiTheme="majorHAnsi" w:hAnsiTheme="majorHAnsi"/>
          <w:sz w:val="20"/>
          <w:szCs w:val="20"/>
          <w:lang w:val="es-CO"/>
        </w:rPr>
        <w:t xml:space="preserve">La parte peticionaria refirió que en 1995 </w:t>
      </w:r>
      <w:r w:rsidR="00DF6B3C" w:rsidRPr="00DE59B5">
        <w:rPr>
          <w:rFonts w:asciiTheme="majorHAnsi" w:hAnsiTheme="majorHAnsi"/>
          <w:sz w:val="20"/>
          <w:szCs w:val="20"/>
          <w:lang w:val="es-CO"/>
        </w:rPr>
        <w:t xml:space="preserve">se desempeñaba como Juez Especializado en lo Penal del 4° Juzgado Especializado en lo Penal de la ciudad de Huánuco. </w:t>
      </w:r>
      <w:r w:rsidR="0056451B" w:rsidRPr="00DE59B5">
        <w:rPr>
          <w:rFonts w:asciiTheme="majorHAnsi" w:hAnsiTheme="majorHAnsi"/>
          <w:sz w:val="20"/>
          <w:szCs w:val="20"/>
          <w:lang w:val="es-CO"/>
        </w:rPr>
        <w:t>Indicó que m</w:t>
      </w:r>
      <w:r w:rsidR="00DF6B3C" w:rsidRPr="00DE59B5">
        <w:rPr>
          <w:rFonts w:asciiTheme="majorHAnsi" w:hAnsiTheme="majorHAnsi"/>
          <w:sz w:val="20"/>
          <w:szCs w:val="20"/>
          <w:lang w:val="es-CO"/>
        </w:rPr>
        <w:t>ientras desempeñaba ese cargo, emitió una resolución de concesión de libertad incondicional a los e</w:t>
      </w:r>
      <w:r w:rsidR="00523F43" w:rsidRPr="00DE59B5">
        <w:rPr>
          <w:rFonts w:asciiTheme="majorHAnsi" w:hAnsiTheme="majorHAnsi"/>
          <w:sz w:val="20"/>
          <w:szCs w:val="20"/>
          <w:lang w:val="es-CO"/>
        </w:rPr>
        <w:t xml:space="preserve">ncausados en un proceso penal </w:t>
      </w:r>
      <w:r w:rsidR="00DF6B3C" w:rsidRPr="00DE59B5">
        <w:rPr>
          <w:rFonts w:asciiTheme="majorHAnsi" w:hAnsiTheme="majorHAnsi"/>
          <w:sz w:val="20"/>
          <w:szCs w:val="20"/>
          <w:lang w:val="es-CO"/>
        </w:rPr>
        <w:t xml:space="preserve"> </w:t>
      </w:r>
      <w:r w:rsidR="0056451B" w:rsidRPr="00DE59B5">
        <w:rPr>
          <w:rFonts w:asciiTheme="majorHAnsi" w:hAnsiTheme="majorHAnsi"/>
          <w:sz w:val="20"/>
          <w:szCs w:val="20"/>
          <w:lang w:val="es-CO"/>
        </w:rPr>
        <w:t>relacionado con tráfico de estupefacientes y que como consecuencia de</w:t>
      </w:r>
      <w:r w:rsidR="00DF6B3C" w:rsidRPr="00DE59B5">
        <w:rPr>
          <w:rFonts w:asciiTheme="majorHAnsi" w:hAnsiTheme="majorHAnsi"/>
          <w:sz w:val="20"/>
          <w:szCs w:val="20"/>
          <w:lang w:val="es-CO"/>
        </w:rPr>
        <w:t xml:space="preserve"> dicha decisión, fue sometido</w:t>
      </w:r>
      <w:r w:rsidRPr="00DE59B5">
        <w:rPr>
          <w:rFonts w:asciiTheme="majorHAnsi" w:hAnsiTheme="majorHAnsi"/>
          <w:sz w:val="20"/>
          <w:szCs w:val="20"/>
          <w:lang w:val="es-CO"/>
        </w:rPr>
        <w:t xml:space="preserve"> a un proceso disciplinario sancionatorio que culminó en 1996 cuando el Consejo Nacional de la Magistr</w:t>
      </w:r>
      <w:r w:rsidR="005256B5" w:rsidRPr="00DE59B5">
        <w:rPr>
          <w:rFonts w:asciiTheme="majorHAnsi" w:hAnsiTheme="majorHAnsi"/>
          <w:sz w:val="20"/>
          <w:szCs w:val="20"/>
          <w:lang w:val="es-CO"/>
        </w:rPr>
        <w:t>atura ordenó su destitución.</w:t>
      </w:r>
      <w:r w:rsidRPr="00DE59B5">
        <w:rPr>
          <w:rFonts w:asciiTheme="majorHAnsi" w:hAnsiTheme="majorHAnsi"/>
          <w:sz w:val="20"/>
          <w:szCs w:val="20"/>
          <w:lang w:val="es-CO"/>
        </w:rPr>
        <w:t xml:space="preserve"> </w:t>
      </w:r>
      <w:r w:rsidR="00023512" w:rsidRPr="00DE59B5">
        <w:rPr>
          <w:rFonts w:asciiTheme="majorHAnsi" w:hAnsiTheme="majorHAnsi"/>
          <w:sz w:val="20"/>
          <w:szCs w:val="20"/>
          <w:lang w:val="es-CO"/>
        </w:rPr>
        <w:t>Asimismo, refirió que por los mismos hechos fue sometido a un proceso penal por los delitos de encubrimiento y prevaricato, en el que finalmente fue absuelto.</w:t>
      </w:r>
      <w:r w:rsidR="00023512" w:rsidRPr="00DE59B5">
        <w:rPr>
          <w:rFonts w:asciiTheme="majorHAnsi" w:hAnsiTheme="majorHAnsi"/>
          <w:color w:val="000000" w:themeColor="text1"/>
          <w:sz w:val="20"/>
          <w:szCs w:val="20"/>
          <w:lang w:val="es-VE"/>
        </w:rPr>
        <w:t xml:space="preserve"> </w:t>
      </w:r>
      <w:r w:rsidRPr="00DE59B5">
        <w:rPr>
          <w:rFonts w:asciiTheme="majorHAnsi" w:hAnsiTheme="majorHAnsi"/>
          <w:sz w:val="20"/>
          <w:szCs w:val="20"/>
          <w:lang w:val="es-CO"/>
        </w:rPr>
        <w:t>Alegó que el Estado es responsable por la violación del derecho al trabajo y a la estabilidad laboral y sostuvo que Perú tiene la obligación de resarcir los daños causados por su destitución</w:t>
      </w:r>
      <w:r w:rsidR="002A762B">
        <w:rPr>
          <w:rFonts w:asciiTheme="majorHAnsi" w:hAnsiTheme="majorHAnsi"/>
          <w:sz w:val="20"/>
          <w:szCs w:val="20"/>
          <w:lang w:val="es-CO"/>
        </w:rPr>
        <w:t xml:space="preserve">, la que calificó como </w:t>
      </w:r>
      <w:r w:rsidRPr="00DE59B5">
        <w:rPr>
          <w:rFonts w:asciiTheme="majorHAnsi" w:hAnsiTheme="majorHAnsi"/>
          <w:sz w:val="20"/>
          <w:szCs w:val="20"/>
          <w:lang w:val="es-CO"/>
        </w:rPr>
        <w:t>arbitraria.</w:t>
      </w:r>
    </w:p>
    <w:p w14:paraId="14488783" w14:textId="77777777" w:rsidR="00DE59B5" w:rsidRDefault="00DE59B5" w:rsidP="00975184">
      <w:pPr>
        <w:pStyle w:val="ListParagraph"/>
        <w:rPr>
          <w:rFonts w:asciiTheme="majorHAnsi" w:hAnsiTheme="majorHAnsi"/>
          <w:sz w:val="20"/>
          <w:szCs w:val="20"/>
          <w:lang w:val="es-CO"/>
        </w:rPr>
      </w:pPr>
    </w:p>
    <w:p w14:paraId="3D8355F3" w14:textId="74B1A12B" w:rsidR="00DE59B5" w:rsidRPr="00DE59B5" w:rsidRDefault="00621F19"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DE59B5">
        <w:rPr>
          <w:rFonts w:asciiTheme="majorHAnsi" w:hAnsiTheme="majorHAnsi"/>
          <w:sz w:val="20"/>
          <w:szCs w:val="20"/>
          <w:lang w:val="es-CO"/>
        </w:rPr>
        <w:t>El Estado refirió que en el marco del proceso disciplinario</w:t>
      </w:r>
      <w:r w:rsidR="001E1DA0">
        <w:rPr>
          <w:rFonts w:asciiTheme="majorHAnsi" w:hAnsiTheme="majorHAnsi"/>
          <w:sz w:val="20"/>
          <w:szCs w:val="20"/>
          <w:lang w:val="es-CO"/>
        </w:rPr>
        <w:t xml:space="preserve"> </w:t>
      </w:r>
      <w:r w:rsidRPr="00DE59B5">
        <w:rPr>
          <w:rFonts w:asciiTheme="majorHAnsi" w:hAnsiTheme="majorHAnsi"/>
          <w:sz w:val="20"/>
          <w:szCs w:val="20"/>
          <w:lang w:val="es-CO"/>
        </w:rPr>
        <w:t xml:space="preserve">sancionatorio </w:t>
      </w:r>
      <w:r w:rsidR="001D33EA" w:rsidRPr="00DE59B5">
        <w:rPr>
          <w:rFonts w:asciiTheme="majorHAnsi" w:hAnsiTheme="majorHAnsi"/>
          <w:sz w:val="20"/>
          <w:szCs w:val="20"/>
          <w:lang w:val="es-CO"/>
        </w:rPr>
        <w:t xml:space="preserve">y del proceso penal </w:t>
      </w:r>
      <w:r w:rsidRPr="00DE59B5">
        <w:rPr>
          <w:rFonts w:asciiTheme="majorHAnsi" w:hAnsiTheme="majorHAnsi"/>
          <w:sz w:val="20"/>
          <w:szCs w:val="20"/>
          <w:lang w:val="es-CO"/>
        </w:rPr>
        <w:t>a</w:t>
      </w:r>
      <w:r w:rsidR="001E1DA0">
        <w:rPr>
          <w:rFonts w:asciiTheme="majorHAnsi" w:hAnsiTheme="majorHAnsi"/>
          <w:sz w:val="20"/>
          <w:szCs w:val="20"/>
          <w:lang w:val="es-CO"/>
        </w:rPr>
        <w:t xml:space="preserve"> los</w:t>
      </w:r>
      <w:r w:rsidRPr="00DE59B5">
        <w:rPr>
          <w:rFonts w:asciiTheme="majorHAnsi" w:hAnsiTheme="majorHAnsi"/>
          <w:sz w:val="20"/>
          <w:szCs w:val="20"/>
          <w:lang w:val="es-CO"/>
        </w:rPr>
        <w:t xml:space="preserve"> que fue sometida la presunta víctima, se respetaron las garantías procesales y que no existió arbitrariedad administrativa alguna ni un impedimento de acceso a los recursos que l</w:t>
      </w:r>
      <w:r w:rsidR="00523F43" w:rsidRPr="00DE59B5">
        <w:rPr>
          <w:rFonts w:asciiTheme="majorHAnsi" w:hAnsiTheme="majorHAnsi"/>
          <w:sz w:val="20"/>
          <w:szCs w:val="20"/>
          <w:lang w:val="es-CO"/>
        </w:rPr>
        <w:t xml:space="preserve">a jurisdicción interna ofrecía. </w:t>
      </w:r>
      <w:r w:rsidR="001E1DA0">
        <w:rPr>
          <w:rFonts w:asciiTheme="majorHAnsi" w:hAnsiTheme="majorHAnsi"/>
          <w:sz w:val="20"/>
          <w:szCs w:val="20"/>
          <w:lang w:val="es-CO"/>
        </w:rPr>
        <w:t xml:space="preserve">Reiteró en la etapa de fondo </w:t>
      </w:r>
      <w:r w:rsidRPr="00DE59B5">
        <w:rPr>
          <w:rFonts w:asciiTheme="majorHAnsi" w:hAnsiTheme="majorHAnsi"/>
          <w:sz w:val="20"/>
          <w:szCs w:val="20"/>
          <w:lang w:val="es-CO"/>
        </w:rPr>
        <w:t xml:space="preserve">que </w:t>
      </w:r>
      <w:r w:rsidRPr="00DE59B5">
        <w:rPr>
          <w:rFonts w:asciiTheme="majorHAnsi" w:hAnsiTheme="majorHAnsi"/>
          <w:sz w:val="20"/>
          <w:szCs w:val="20"/>
          <w:lang w:val="es-ES"/>
        </w:rPr>
        <w:t>la presunta víctima no agotó los recursos internos y que</w:t>
      </w:r>
      <w:r w:rsidRPr="00DE59B5">
        <w:rPr>
          <w:rFonts w:asciiTheme="majorHAnsi" w:hAnsiTheme="majorHAnsi"/>
          <w:sz w:val="20"/>
          <w:szCs w:val="20"/>
          <w:lang w:val="es-CO"/>
        </w:rPr>
        <w:t xml:space="preserve"> la Comisión carece de competencia para revisar fallos emitidos por órganos jurisdiccionales nacionales.</w:t>
      </w:r>
    </w:p>
    <w:p w14:paraId="72852F4E" w14:textId="77777777" w:rsidR="00DE59B5" w:rsidRDefault="00DE59B5" w:rsidP="00975184">
      <w:pPr>
        <w:pStyle w:val="ListParagraph"/>
        <w:rPr>
          <w:rFonts w:asciiTheme="majorHAnsi" w:hAnsiTheme="majorHAnsi"/>
          <w:color w:val="000000" w:themeColor="text1"/>
          <w:sz w:val="20"/>
          <w:szCs w:val="20"/>
          <w:lang w:val="es-VE"/>
        </w:rPr>
      </w:pPr>
    </w:p>
    <w:p w14:paraId="7A74AFFB" w14:textId="5D80E11C" w:rsidR="000271BA" w:rsidRPr="00DE59B5" w:rsidRDefault="00FB6B56"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DE59B5">
        <w:rPr>
          <w:rFonts w:asciiTheme="majorHAnsi" w:hAnsiTheme="majorHAnsi"/>
          <w:color w:val="000000" w:themeColor="text1"/>
          <w:sz w:val="20"/>
          <w:szCs w:val="20"/>
          <w:lang w:val="es-VE"/>
        </w:rPr>
        <w:t>Con base en las determinaciones de hecho y de derecho, la Comisión Interamericana concluyó que el Estado es responsable por la violación de los artículos 8.1, 8.2 h) (garantías judiciales), 9 (principio de legalidad), 23</w:t>
      </w:r>
      <w:r w:rsidR="00815CF9">
        <w:rPr>
          <w:rFonts w:asciiTheme="majorHAnsi" w:hAnsiTheme="majorHAnsi"/>
          <w:color w:val="000000" w:themeColor="text1"/>
          <w:sz w:val="20"/>
          <w:szCs w:val="20"/>
          <w:lang w:val="es-VE"/>
        </w:rPr>
        <w:t>.1 c)</w:t>
      </w:r>
      <w:r w:rsidRPr="00DE59B5">
        <w:rPr>
          <w:rFonts w:asciiTheme="majorHAnsi" w:hAnsiTheme="majorHAnsi"/>
          <w:color w:val="000000" w:themeColor="text1"/>
          <w:sz w:val="20"/>
          <w:szCs w:val="20"/>
          <w:lang w:val="es-VE"/>
        </w:rPr>
        <w:t xml:space="preserve"> (derecho</w:t>
      </w:r>
      <w:r w:rsidR="00815CF9">
        <w:rPr>
          <w:rFonts w:asciiTheme="majorHAnsi" w:hAnsiTheme="majorHAnsi"/>
          <w:color w:val="000000" w:themeColor="text1"/>
          <w:sz w:val="20"/>
          <w:szCs w:val="20"/>
          <w:lang w:val="es-VE"/>
        </w:rPr>
        <w:t>s</w:t>
      </w:r>
      <w:r w:rsidRPr="00DE59B5">
        <w:rPr>
          <w:rFonts w:asciiTheme="majorHAnsi" w:hAnsiTheme="majorHAnsi"/>
          <w:color w:val="000000" w:themeColor="text1"/>
          <w:sz w:val="20"/>
          <w:szCs w:val="20"/>
          <w:lang w:val="es-VE"/>
        </w:rPr>
        <w:t xml:space="preserve"> políticos) y 25</w:t>
      </w:r>
      <w:r w:rsidR="00815CF9">
        <w:rPr>
          <w:rFonts w:asciiTheme="majorHAnsi" w:hAnsiTheme="majorHAnsi"/>
          <w:color w:val="000000" w:themeColor="text1"/>
          <w:sz w:val="20"/>
          <w:szCs w:val="20"/>
          <w:lang w:val="es-VE"/>
        </w:rPr>
        <w:t>.1</w:t>
      </w:r>
      <w:r w:rsidRPr="00DE59B5">
        <w:rPr>
          <w:rFonts w:asciiTheme="majorHAnsi" w:hAnsiTheme="majorHAnsi"/>
          <w:color w:val="000000" w:themeColor="text1"/>
          <w:sz w:val="20"/>
          <w:szCs w:val="20"/>
          <w:lang w:val="es-VE"/>
        </w:rPr>
        <w:t xml:space="preserve"> (protección judicial) de la Convención Americana en relación con las obligaciones establecidas en los artículos 1.1 y 2 del mismo instrumento, en perjuicio de Héctor Fidel Cordero Bernal. La Comisión formuló las recomendaciones respectivas.  </w:t>
      </w:r>
    </w:p>
    <w:p w14:paraId="699018B5" w14:textId="77777777" w:rsidR="00C02D73" w:rsidRPr="00A321D3" w:rsidRDefault="00C02D73" w:rsidP="009751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Calibri" w:hAnsiTheme="majorHAnsi"/>
          <w:sz w:val="20"/>
          <w:szCs w:val="20"/>
          <w:highlight w:val="yellow"/>
          <w:lang w:val="es-VE"/>
        </w:rPr>
      </w:pPr>
    </w:p>
    <w:p w14:paraId="5810C094" w14:textId="77777777" w:rsidR="00E40449" w:rsidRPr="00A321D3" w:rsidRDefault="0072115B" w:rsidP="00975184">
      <w:pPr>
        <w:pStyle w:val="Heading1"/>
        <w:numPr>
          <w:ilvl w:val="0"/>
          <w:numId w:val="55"/>
        </w:numPr>
        <w:tabs>
          <w:tab w:val="clear" w:pos="1440"/>
        </w:tabs>
      </w:pPr>
      <w:bookmarkStart w:id="8" w:name="_Toc514247633"/>
      <w:bookmarkStart w:id="9" w:name="_Toc370840745"/>
      <w:bookmarkStart w:id="10" w:name="_Toc370840841"/>
      <w:r w:rsidRPr="00A321D3">
        <w:t>ALEGATOS DE LAS PARTES</w:t>
      </w:r>
      <w:bookmarkEnd w:id="8"/>
      <w:r w:rsidRPr="00A321D3">
        <w:t xml:space="preserve"> </w:t>
      </w:r>
      <w:bookmarkEnd w:id="9"/>
      <w:bookmarkEnd w:id="10"/>
    </w:p>
    <w:p w14:paraId="15B8CC07" w14:textId="77777777" w:rsidR="00E40449" w:rsidRPr="00A321D3" w:rsidRDefault="00E40449" w:rsidP="00975184">
      <w:pPr>
        <w:rPr>
          <w:rFonts w:asciiTheme="majorHAnsi" w:hAnsiTheme="majorHAnsi"/>
          <w:sz w:val="20"/>
          <w:szCs w:val="20"/>
          <w:lang w:val="es-CO"/>
        </w:rPr>
      </w:pPr>
    </w:p>
    <w:p w14:paraId="6D77EF59" w14:textId="77777777" w:rsidR="000271BA" w:rsidRPr="00A321D3" w:rsidRDefault="00E40449" w:rsidP="00975184">
      <w:pPr>
        <w:pStyle w:val="Heading2"/>
        <w:numPr>
          <w:ilvl w:val="0"/>
          <w:numId w:val="59"/>
        </w:numPr>
      </w:pPr>
      <w:bookmarkStart w:id="11" w:name="_Toc423514408"/>
      <w:bookmarkStart w:id="12" w:name="_Toc433115984"/>
      <w:bookmarkStart w:id="13" w:name="_Toc444958127"/>
      <w:bookmarkStart w:id="14" w:name="_Toc479004112"/>
      <w:bookmarkStart w:id="15" w:name="_Toc514247634"/>
      <w:r w:rsidRPr="00A321D3">
        <w:t>P</w:t>
      </w:r>
      <w:bookmarkEnd w:id="11"/>
      <w:bookmarkEnd w:id="12"/>
      <w:bookmarkEnd w:id="13"/>
      <w:bookmarkEnd w:id="14"/>
      <w:r w:rsidR="008F74D7" w:rsidRPr="00A321D3">
        <w:t>arte peticionaria</w:t>
      </w:r>
      <w:bookmarkEnd w:id="15"/>
      <w:r w:rsidR="008F74D7" w:rsidRPr="00A321D3">
        <w:t xml:space="preserve"> </w:t>
      </w:r>
    </w:p>
    <w:p w14:paraId="2D261C20" w14:textId="77777777" w:rsidR="009A19DA" w:rsidRPr="00A321D3" w:rsidRDefault="009A19DA" w:rsidP="009751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olor w:val="000000" w:themeColor="text1"/>
          <w:sz w:val="20"/>
          <w:szCs w:val="20"/>
          <w:lang w:val="es-VE"/>
        </w:rPr>
      </w:pPr>
    </w:p>
    <w:p w14:paraId="2A11B598" w14:textId="3448DDFE" w:rsidR="00DE59B5" w:rsidRPr="00DE59B5" w:rsidRDefault="008F74D7"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color w:val="000000" w:themeColor="text1"/>
          <w:sz w:val="20"/>
          <w:szCs w:val="20"/>
          <w:lang w:val="es-VE"/>
        </w:rPr>
      </w:pPr>
      <w:r w:rsidRPr="00A321D3">
        <w:rPr>
          <w:rFonts w:asciiTheme="majorHAnsi" w:eastAsia="Calibri" w:hAnsiTheme="majorHAnsi"/>
          <w:sz w:val="20"/>
          <w:szCs w:val="20"/>
          <w:bdr w:val="none" w:sz="0" w:space="0" w:color="auto"/>
          <w:lang w:val="es-CO"/>
        </w:rPr>
        <w:t xml:space="preserve">La parte </w:t>
      </w:r>
      <w:r w:rsidR="001876D7" w:rsidRPr="00A321D3">
        <w:rPr>
          <w:rFonts w:asciiTheme="majorHAnsi" w:eastAsia="Calibri" w:hAnsiTheme="majorHAnsi"/>
          <w:sz w:val="20"/>
          <w:szCs w:val="20"/>
          <w:bdr w:val="none" w:sz="0" w:space="0" w:color="auto"/>
          <w:lang w:val="es-CO"/>
        </w:rPr>
        <w:t>peticionaria</w:t>
      </w:r>
      <w:r w:rsidR="000271BA" w:rsidRPr="00A321D3">
        <w:rPr>
          <w:rFonts w:asciiTheme="majorHAnsi" w:eastAsia="Calibri" w:hAnsiTheme="majorHAnsi"/>
          <w:sz w:val="20"/>
          <w:szCs w:val="20"/>
          <w:bdr w:val="none" w:sz="0" w:space="0" w:color="auto"/>
          <w:lang w:val="es-CO"/>
        </w:rPr>
        <w:t xml:space="preserve"> indicó que el 9 de noviembre de 1993 ingresó a la judicatura como magistrado provisional, inicialmente asigna</w:t>
      </w:r>
      <w:r w:rsidR="00E0507A" w:rsidRPr="00A321D3">
        <w:rPr>
          <w:rFonts w:asciiTheme="majorHAnsi" w:eastAsia="Calibri" w:hAnsiTheme="majorHAnsi"/>
          <w:sz w:val="20"/>
          <w:szCs w:val="20"/>
          <w:bdr w:val="none" w:sz="0" w:space="0" w:color="auto"/>
          <w:lang w:val="es-CO"/>
        </w:rPr>
        <w:t>do como Juez en lo Civil en la C</w:t>
      </w:r>
      <w:r w:rsidR="000271BA" w:rsidRPr="00A321D3">
        <w:rPr>
          <w:rFonts w:asciiTheme="majorHAnsi" w:eastAsia="Calibri" w:hAnsiTheme="majorHAnsi"/>
          <w:sz w:val="20"/>
          <w:szCs w:val="20"/>
          <w:bdr w:val="none" w:sz="0" w:space="0" w:color="auto"/>
          <w:lang w:val="es-CO"/>
        </w:rPr>
        <w:t>iudad de Tingo María,</w:t>
      </w:r>
      <w:r w:rsidR="000271BA" w:rsidRPr="00A321D3">
        <w:rPr>
          <w:rFonts w:asciiTheme="majorHAnsi" w:hAnsiTheme="majorHAnsi"/>
          <w:sz w:val="20"/>
          <w:szCs w:val="20"/>
          <w:bdr w:val="none" w:sz="0" w:space="0" w:color="auto"/>
          <w:lang w:val="es-ES"/>
        </w:rPr>
        <w:t xml:space="preserve"> </w:t>
      </w:r>
      <w:r w:rsidR="00E0507A" w:rsidRPr="00A321D3">
        <w:rPr>
          <w:rFonts w:asciiTheme="majorHAnsi" w:eastAsia="Calibri" w:hAnsiTheme="majorHAnsi"/>
          <w:sz w:val="20"/>
          <w:szCs w:val="20"/>
          <w:bdr w:val="none" w:sz="0" w:space="0" w:color="auto"/>
          <w:lang w:val="es-ES"/>
        </w:rPr>
        <w:t>D</w:t>
      </w:r>
      <w:r w:rsidR="000271BA" w:rsidRPr="00A321D3">
        <w:rPr>
          <w:rFonts w:asciiTheme="majorHAnsi" w:eastAsia="Calibri" w:hAnsiTheme="majorHAnsi"/>
          <w:sz w:val="20"/>
          <w:szCs w:val="20"/>
          <w:bdr w:val="none" w:sz="0" w:space="0" w:color="auto"/>
          <w:lang w:val="es-ES"/>
        </w:rPr>
        <w:t xml:space="preserve">epartamento de Huánuco. Señaló que el 14 de </w:t>
      </w:r>
      <w:r w:rsidR="00E0507A" w:rsidRPr="00A321D3">
        <w:rPr>
          <w:rFonts w:asciiTheme="majorHAnsi" w:eastAsia="Calibri" w:hAnsiTheme="majorHAnsi"/>
          <w:sz w:val="20"/>
          <w:szCs w:val="20"/>
          <w:bdr w:val="none" w:sz="0" w:space="0" w:color="auto"/>
          <w:lang w:val="es-ES"/>
        </w:rPr>
        <w:t>diciembre de 1994 fue designado</w:t>
      </w:r>
      <w:r w:rsidR="001D33EA" w:rsidRPr="00A321D3">
        <w:rPr>
          <w:rFonts w:asciiTheme="majorHAnsi" w:eastAsia="Calibri" w:hAnsiTheme="majorHAnsi"/>
          <w:sz w:val="20"/>
          <w:szCs w:val="20"/>
          <w:bdr w:val="none" w:sz="0" w:space="0" w:color="auto"/>
          <w:lang w:val="es-ES"/>
        </w:rPr>
        <w:t xml:space="preserve"> provisionalmente </w:t>
      </w:r>
      <w:r w:rsidR="000271BA" w:rsidRPr="00A321D3">
        <w:rPr>
          <w:rFonts w:asciiTheme="majorHAnsi" w:eastAsia="Calibri" w:hAnsiTheme="majorHAnsi"/>
          <w:sz w:val="20"/>
          <w:szCs w:val="20"/>
          <w:bdr w:val="none" w:sz="0" w:space="0" w:color="auto"/>
          <w:lang w:val="es-ES"/>
        </w:rPr>
        <w:t>como Juez Especializado en lo Penal del 4° Juzgado E</w:t>
      </w:r>
      <w:r w:rsidR="00E0507A" w:rsidRPr="00A321D3">
        <w:rPr>
          <w:rFonts w:asciiTheme="majorHAnsi" w:eastAsia="Calibri" w:hAnsiTheme="majorHAnsi"/>
          <w:sz w:val="20"/>
          <w:szCs w:val="20"/>
          <w:bdr w:val="none" w:sz="0" w:space="0" w:color="auto"/>
          <w:lang w:val="es-ES"/>
        </w:rPr>
        <w:t xml:space="preserve">specializado en lo Penal de la </w:t>
      </w:r>
      <w:r w:rsidR="00815CF9">
        <w:rPr>
          <w:rFonts w:asciiTheme="majorHAnsi" w:eastAsia="Calibri" w:hAnsiTheme="majorHAnsi"/>
          <w:sz w:val="20"/>
          <w:szCs w:val="20"/>
          <w:bdr w:val="none" w:sz="0" w:space="0" w:color="auto"/>
          <w:lang w:val="es-ES"/>
        </w:rPr>
        <w:t>c</w:t>
      </w:r>
      <w:r w:rsidR="000271BA" w:rsidRPr="00A321D3">
        <w:rPr>
          <w:rFonts w:asciiTheme="majorHAnsi" w:eastAsia="Calibri" w:hAnsiTheme="majorHAnsi"/>
          <w:sz w:val="20"/>
          <w:szCs w:val="20"/>
          <w:bdr w:val="none" w:sz="0" w:space="0" w:color="auto"/>
          <w:lang w:val="es-ES"/>
        </w:rPr>
        <w:t>iudad de Huánuco. Afirmó que el 11 de julio de 1995, en el marco de un proceso penal por tráfico ilícito de drogas, dictó una resolución concediendo libertad</w:t>
      </w:r>
      <w:r w:rsidR="009A19DA" w:rsidRPr="00A321D3">
        <w:rPr>
          <w:rFonts w:asciiTheme="majorHAnsi" w:eastAsia="Calibri" w:hAnsiTheme="majorHAnsi"/>
          <w:sz w:val="20"/>
          <w:szCs w:val="20"/>
          <w:bdr w:val="none" w:sz="0" w:space="0" w:color="auto"/>
          <w:lang w:val="es-ES"/>
        </w:rPr>
        <w:t xml:space="preserve"> incondicional a los procesados.</w:t>
      </w:r>
    </w:p>
    <w:p w14:paraId="04704404" w14:textId="77777777" w:rsidR="00DE59B5" w:rsidRDefault="00DE59B5"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color w:val="000000" w:themeColor="text1"/>
          <w:sz w:val="20"/>
          <w:szCs w:val="20"/>
          <w:lang w:val="es-VE"/>
        </w:rPr>
      </w:pPr>
    </w:p>
    <w:p w14:paraId="596CDC1B" w14:textId="77777777" w:rsidR="001050CB" w:rsidRDefault="001050CB"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color w:val="000000" w:themeColor="text1"/>
          <w:sz w:val="20"/>
          <w:szCs w:val="20"/>
          <w:lang w:val="es-VE"/>
        </w:rPr>
      </w:pPr>
    </w:p>
    <w:p w14:paraId="4044CB5B" w14:textId="77777777" w:rsidR="001050CB" w:rsidRDefault="001050CB"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color w:val="000000" w:themeColor="text1"/>
          <w:sz w:val="20"/>
          <w:szCs w:val="20"/>
          <w:lang w:val="es-VE"/>
        </w:rPr>
      </w:pPr>
    </w:p>
    <w:p w14:paraId="2A3A29D7" w14:textId="77777777" w:rsidR="001050CB" w:rsidRPr="00DE59B5" w:rsidRDefault="001050CB"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color w:val="000000" w:themeColor="text1"/>
          <w:sz w:val="20"/>
          <w:szCs w:val="20"/>
          <w:lang w:val="es-VE"/>
        </w:rPr>
      </w:pPr>
    </w:p>
    <w:p w14:paraId="61EDFEFB" w14:textId="44A2689D" w:rsidR="00DE59B5" w:rsidRPr="00DE59B5" w:rsidRDefault="00C4567D"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color w:val="000000" w:themeColor="text1"/>
          <w:sz w:val="20"/>
          <w:szCs w:val="20"/>
          <w:lang w:val="es-VE"/>
        </w:rPr>
      </w:pPr>
      <w:r w:rsidRPr="00DE59B5">
        <w:rPr>
          <w:rFonts w:asciiTheme="majorHAnsi" w:eastAsia="Calibri" w:hAnsiTheme="majorHAnsi"/>
          <w:sz w:val="20"/>
          <w:szCs w:val="20"/>
          <w:bdr w:val="none" w:sz="0" w:space="0" w:color="auto"/>
          <w:lang w:val="es-VE"/>
        </w:rPr>
        <w:t xml:space="preserve">Señaló </w:t>
      </w:r>
      <w:r w:rsidR="000271BA" w:rsidRPr="00DE59B5">
        <w:rPr>
          <w:rFonts w:asciiTheme="majorHAnsi" w:eastAsia="Calibri" w:hAnsiTheme="majorHAnsi"/>
          <w:sz w:val="20"/>
          <w:szCs w:val="20"/>
          <w:bdr w:val="none" w:sz="0" w:space="0" w:color="auto"/>
          <w:lang w:val="es-CO"/>
        </w:rPr>
        <w:t>que en razón de la referida resolución, el 11 de agosto de 1995 la Oficina de Control de la Magistratura ordenó el cese de sus funciones y solicitó al Consejo Ejecutivo del Poder Judicial su destitución a través de un proceso disciplinario. Afirmó que el proceso culminó a través de la Resolución No. 008-96-PCNM del 14 de agosto de 1996, en la que el Consejo Nacional de la Magistratura (en adelante</w:t>
      </w:r>
      <w:r w:rsidR="00D766AD">
        <w:rPr>
          <w:rFonts w:asciiTheme="majorHAnsi" w:eastAsia="Calibri" w:hAnsiTheme="majorHAnsi"/>
          <w:sz w:val="20"/>
          <w:szCs w:val="20"/>
          <w:bdr w:val="none" w:sz="0" w:space="0" w:color="auto"/>
          <w:lang w:val="es-CO"/>
        </w:rPr>
        <w:t xml:space="preserve"> “el</w:t>
      </w:r>
      <w:r w:rsidR="000271BA" w:rsidRPr="00DE59B5">
        <w:rPr>
          <w:rFonts w:asciiTheme="majorHAnsi" w:eastAsia="Calibri" w:hAnsiTheme="majorHAnsi"/>
          <w:sz w:val="20"/>
          <w:szCs w:val="20"/>
          <w:bdr w:val="none" w:sz="0" w:space="0" w:color="auto"/>
          <w:lang w:val="es-CO"/>
        </w:rPr>
        <w:t xml:space="preserve"> CNM</w:t>
      </w:r>
      <w:r w:rsidR="00D766AD">
        <w:rPr>
          <w:rFonts w:asciiTheme="majorHAnsi" w:eastAsia="Calibri" w:hAnsiTheme="majorHAnsi"/>
          <w:sz w:val="20"/>
          <w:szCs w:val="20"/>
          <w:bdr w:val="none" w:sz="0" w:space="0" w:color="auto"/>
          <w:lang w:val="es-CO"/>
        </w:rPr>
        <w:t>”</w:t>
      </w:r>
      <w:r w:rsidR="000271BA" w:rsidRPr="00DE59B5">
        <w:rPr>
          <w:rFonts w:asciiTheme="majorHAnsi" w:eastAsia="Calibri" w:hAnsiTheme="majorHAnsi"/>
          <w:sz w:val="20"/>
          <w:szCs w:val="20"/>
          <w:bdr w:val="none" w:sz="0" w:space="0" w:color="auto"/>
          <w:lang w:val="es-CO"/>
        </w:rPr>
        <w:t xml:space="preserve">) resolvió su destitución aduciendo que </w:t>
      </w:r>
      <w:r w:rsidR="000271BA" w:rsidRPr="00DE59B5">
        <w:rPr>
          <w:rFonts w:asciiTheme="majorHAnsi" w:eastAsia="Calibri" w:hAnsiTheme="majorHAnsi"/>
          <w:sz w:val="20"/>
          <w:szCs w:val="20"/>
          <w:bdr w:val="none" w:sz="0" w:space="0" w:color="auto"/>
          <w:lang w:val="es-ES"/>
        </w:rPr>
        <w:t>al otorgar libertad incondicional a favor de personas cuyas evidencias arrojaban suficientes indicios de responsabilidad penal</w:t>
      </w:r>
      <w:r w:rsidR="000271BA" w:rsidRPr="00DE59B5">
        <w:rPr>
          <w:rFonts w:asciiTheme="majorHAnsi" w:eastAsia="Calibri" w:hAnsiTheme="majorHAnsi"/>
          <w:sz w:val="20"/>
          <w:szCs w:val="20"/>
          <w:bdr w:val="none" w:sz="0" w:space="0" w:color="auto"/>
          <w:lang w:val="es-CO"/>
        </w:rPr>
        <w:t xml:space="preserve">, el señor Cordero cometió “un hecho grave que sin ser </w:t>
      </w:r>
      <w:r w:rsidR="00993851" w:rsidRPr="00DE59B5">
        <w:rPr>
          <w:rFonts w:asciiTheme="majorHAnsi" w:eastAsia="Calibri" w:hAnsiTheme="majorHAnsi"/>
          <w:sz w:val="20"/>
          <w:szCs w:val="20"/>
          <w:bdr w:val="none" w:sz="0" w:space="0" w:color="auto"/>
          <w:lang w:val="es-CO"/>
        </w:rPr>
        <w:t>delito</w:t>
      </w:r>
      <w:r w:rsidR="000271BA" w:rsidRPr="00DE59B5">
        <w:rPr>
          <w:rFonts w:asciiTheme="majorHAnsi" w:eastAsia="Calibri" w:hAnsiTheme="majorHAnsi"/>
          <w:sz w:val="20"/>
          <w:szCs w:val="20"/>
          <w:bdr w:val="none" w:sz="0" w:space="0" w:color="auto"/>
          <w:lang w:val="es-CO"/>
        </w:rPr>
        <w:t xml:space="preserve"> compromete la dignidad del cargo y la desmerece en el concepto público”. Afirmó que dicha causal disciplinaria se encontraba dispuesta en el artículo 31.2 de la Ley No. 26397 </w:t>
      </w:r>
      <w:r w:rsidR="00D766AD">
        <w:rPr>
          <w:rFonts w:asciiTheme="majorHAnsi" w:eastAsia="Calibri" w:hAnsiTheme="majorHAnsi"/>
          <w:sz w:val="20"/>
          <w:szCs w:val="20"/>
          <w:bdr w:val="none" w:sz="0" w:space="0" w:color="auto"/>
          <w:lang w:val="es-CO"/>
        </w:rPr>
        <w:t xml:space="preserve">- </w:t>
      </w:r>
      <w:r w:rsidR="000271BA" w:rsidRPr="00DE59B5">
        <w:rPr>
          <w:rFonts w:asciiTheme="majorHAnsi" w:eastAsia="Calibri" w:hAnsiTheme="majorHAnsi"/>
          <w:sz w:val="20"/>
          <w:szCs w:val="20"/>
          <w:bdr w:val="none" w:sz="0" w:space="0" w:color="auto"/>
          <w:lang w:val="es-CO"/>
        </w:rPr>
        <w:t>Ley Orgánica del Consejo Nacional de la Magistratura, el cual habría sido derogado posteriormente por la Ley No</w:t>
      </w:r>
      <w:r w:rsidR="009A19DA" w:rsidRPr="00DE59B5">
        <w:rPr>
          <w:rFonts w:asciiTheme="majorHAnsi" w:eastAsia="Calibri" w:hAnsiTheme="majorHAnsi"/>
          <w:sz w:val="20"/>
          <w:szCs w:val="20"/>
          <w:bdr w:val="none" w:sz="0" w:space="0" w:color="auto"/>
          <w:lang w:val="es-CO"/>
        </w:rPr>
        <w:t>. 26933 de 12 de marzo de 1998.</w:t>
      </w:r>
    </w:p>
    <w:p w14:paraId="025BBF80" w14:textId="77777777" w:rsidR="00DE59B5" w:rsidRDefault="00DE59B5" w:rsidP="00975184">
      <w:pPr>
        <w:pStyle w:val="ListParagraph"/>
        <w:rPr>
          <w:rFonts w:asciiTheme="majorHAnsi" w:eastAsia="Calibri" w:hAnsiTheme="majorHAnsi"/>
          <w:sz w:val="20"/>
          <w:szCs w:val="20"/>
          <w:bdr w:val="none" w:sz="0" w:space="0" w:color="auto"/>
          <w:lang w:val="es-CO"/>
        </w:rPr>
      </w:pPr>
    </w:p>
    <w:p w14:paraId="14CE3C96" w14:textId="2594396F" w:rsidR="00DE59B5" w:rsidRPr="00DE59B5" w:rsidRDefault="00F711EA"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color w:val="000000" w:themeColor="text1"/>
          <w:sz w:val="20"/>
          <w:szCs w:val="20"/>
          <w:lang w:val="es-VE"/>
        </w:rPr>
      </w:pPr>
      <w:r w:rsidRPr="00DE59B5">
        <w:rPr>
          <w:rFonts w:asciiTheme="majorHAnsi" w:eastAsia="Calibri" w:hAnsiTheme="majorHAnsi"/>
          <w:sz w:val="20"/>
          <w:szCs w:val="20"/>
          <w:bdr w:val="none" w:sz="0" w:space="0" w:color="auto"/>
          <w:lang w:val="es-CO"/>
        </w:rPr>
        <w:t>Resaltó</w:t>
      </w:r>
      <w:r w:rsidR="000271BA" w:rsidRPr="00DE59B5">
        <w:rPr>
          <w:rFonts w:asciiTheme="majorHAnsi" w:eastAsia="Calibri" w:hAnsiTheme="majorHAnsi"/>
          <w:sz w:val="20"/>
          <w:szCs w:val="20"/>
          <w:bdr w:val="none" w:sz="0" w:space="0" w:color="auto"/>
          <w:lang w:val="es-CO"/>
        </w:rPr>
        <w:t xml:space="preserve"> que si bien el artículo 31.2 de la Ley No. 26397 establecía la posibilidad de destituir </w:t>
      </w:r>
      <w:r w:rsidRPr="00DE59B5">
        <w:rPr>
          <w:rFonts w:asciiTheme="majorHAnsi" w:eastAsia="Calibri" w:hAnsiTheme="majorHAnsi"/>
          <w:sz w:val="20"/>
          <w:szCs w:val="20"/>
          <w:bdr w:val="none" w:sz="0" w:space="0" w:color="auto"/>
          <w:lang w:val="es-CO"/>
        </w:rPr>
        <w:t xml:space="preserve">a </w:t>
      </w:r>
      <w:r w:rsidR="000271BA" w:rsidRPr="00DE59B5">
        <w:rPr>
          <w:rFonts w:asciiTheme="majorHAnsi" w:eastAsia="Calibri" w:hAnsiTheme="majorHAnsi"/>
          <w:sz w:val="20"/>
          <w:szCs w:val="20"/>
          <w:bdr w:val="none" w:sz="0" w:space="0" w:color="auto"/>
          <w:lang w:val="es-CO"/>
        </w:rPr>
        <w:t>un magistrado que cometiese un hecho grave que comprometiera la dignidad del cargo, el artículo 210 del Texto Único Ordenado de la Ley Orgánica del Poder Judicial, vigente en el mismo período, señalaba que “el hecho grave que sin ser delito y que compromete la dignidad en el cargo y la desmerezca en el concepto público es pasible de medida disciplinaria de suspensión de uno a 60 d</w:t>
      </w:r>
      <w:r w:rsidR="00B6354D" w:rsidRPr="00DE59B5">
        <w:rPr>
          <w:rFonts w:asciiTheme="majorHAnsi" w:eastAsia="Calibri" w:hAnsiTheme="majorHAnsi"/>
          <w:sz w:val="20"/>
          <w:szCs w:val="20"/>
          <w:bdr w:val="none" w:sz="0" w:space="0" w:color="auto"/>
          <w:lang w:val="es-CO"/>
        </w:rPr>
        <w:t>ías”. Añadió que el artículo 211</w:t>
      </w:r>
      <w:r w:rsidR="000271BA" w:rsidRPr="00DE59B5">
        <w:rPr>
          <w:rFonts w:asciiTheme="majorHAnsi" w:eastAsia="Calibri" w:hAnsiTheme="majorHAnsi"/>
          <w:sz w:val="20"/>
          <w:szCs w:val="20"/>
          <w:bdr w:val="none" w:sz="0" w:space="0" w:color="auto"/>
          <w:lang w:val="es-CO"/>
        </w:rPr>
        <w:t xml:space="preserve"> de la Ley Orgánica del Poder Judicial esta</w:t>
      </w:r>
      <w:r w:rsidR="00D766AD">
        <w:rPr>
          <w:rFonts w:asciiTheme="majorHAnsi" w:eastAsia="Calibri" w:hAnsiTheme="majorHAnsi"/>
          <w:sz w:val="20"/>
          <w:szCs w:val="20"/>
          <w:bdr w:val="none" w:sz="0" w:space="0" w:color="auto"/>
          <w:lang w:val="es-CO"/>
        </w:rPr>
        <w:t>blece</w:t>
      </w:r>
      <w:r w:rsidR="000271BA" w:rsidRPr="00DE59B5">
        <w:rPr>
          <w:rFonts w:asciiTheme="majorHAnsi" w:eastAsia="Calibri" w:hAnsiTheme="majorHAnsi"/>
          <w:sz w:val="20"/>
          <w:szCs w:val="20"/>
          <w:bdr w:val="none" w:sz="0" w:space="0" w:color="auto"/>
          <w:lang w:val="es-CO"/>
        </w:rPr>
        <w:t xml:space="preserve"> que la destitución de los jueces sólo procede cuando ha habido una sanción disciplinaria anterior, lo cual no habría ocurrido en su caso. Manifestó que ante la vigencia de disposiciones contradictorias, </w:t>
      </w:r>
      <w:r w:rsidR="0092784A" w:rsidRPr="00DE59B5">
        <w:rPr>
          <w:rFonts w:asciiTheme="majorHAnsi" w:eastAsia="Calibri" w:hAnsiTheme="majorHAnsi"/>
          <w:sz w:val="20"/>
          <w:szCs w:val="20"/>
          <w:bdr w:val="none" w:sz="0" w:space="0" w:color="auto"/>
          <w:lang w:val="es-CO"/>
        </w:rPr>
        <w:t xml:space="preserve">las de la Ley 26397 y las de la Ley Orgánica del Poder Judicial, </w:t>
      </w:r>
      <w:r w:rsidR="000271BA" w:rsidRPr="00DE59B5">
        <w:rPr>
          <w:rFonts w:asciiTheme="majorHAnsi" w:eastAsia="Calibri" w:hAnsiTheme="majorHAnsi"/>
          <w:sz w:val="20"/>
          <w:szCs w:val="20"/>
          <w:bdr w:val="none" w:sz="0" w:space="0" w:color="auto"/>
          <w:lang w:val="es-CO"/>
        </w:rPr>
        <w:t>correspondía al CNM aplicarle la medida disciplinaria más favorable.</w:t>
      </w:r>
    </w:p>
    <w:p w14:paraId="46F70AFB" w14:textId="77777777" w:rsidR="00DE59B5" w:rsidRDefault="00DE59B5" w:rsidP="00975184">
      <w:pPr>
        <w:pStyle w:val="ListParagraph"/>
        <w:rPr>
          <w:rFonts w:asciiTheme="majorHAnsi" w:eastAsia="Calibri" w:hAnsiTheme="majorHAnsi"/>
          <w:sz w:val="20"/>
          <w:szCs w:val="20"/>
          <w:bdr w:val="none" w:sz="0" w:space="0" w:color="auto"/>
          <w:lang w:val="es-CO"/>
        </w:rPr>
      </w:pPr>
    </w:p>
    <w:p w14:paraId="0E6D0A6A" w14:textId="4B3F6E96" w:rsidR="00DE59B5" w:rsidRPr="00DE59B5" w:rsidRDefault="000271BA"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color w:val="000000" w:themeColor="text1"/>
          <w:sz w:val="20"/>
          <w:szCs w:val="20"/>
          <w:lang w:val="es-VE"/>
        </w:rPr>
      </w:pPr>
      <w:r w:rsidRPr="00DE59B5">
        <w:rPr>
          <w:rFonts w:asciiTheme="majorHAnsi" w:eastAsia="Calibri" w:hAnsiTheme="majorHAnsi"/>
          <w:sz w:val="20"/>
          <w:szCs w:val="20"/>
          <w:bdr w:val="none" w:sz="0" w:space="0" w:color="auto"/>
          <w:lang w:val="es-CO"/>
        </w:rPr>
        <w:t xml:space="preserve">Sostuvo que la </w:t>
      </w:r>
      <w:r w:rsidR="00B15B6B">
        <w:rPr>
          <w:rFonts w:asciiTheme="majorHAnsi" w:eastAsia="Calibri" w:hAnsiTheme="majorHAnsi"/>
          <w:sz w:val="20"/>
          <w:szCs w:val="20"/>
          <w:bdr w:val="none" w:sz="0" w:space="0" w:color="auto"/>
          <w:lang w:val="es-CO"/>
        </w:rPr>
        <w:t>decisi</w:t>
      </w:r>
      <w:r w:rsidR="00565AAB">
        <w:rPr>
          <w:rFonts w:asciiTheme="majorHAnsi" w:eastAsia="Calibri" w:hAnsiTheme="majorHAnsi"/>
          <w:sz w:val="20"/>
          <w:szCs w:val="20"/>
          <w:bdr w:val="none" w:sz="0" w:space="0" w:color="auto"/>
          <w:lang w:val="es-CO"/>
        </w:rPr>
        <w:t>ón</w:t>
      </w:r>
      <w:r w:rsidR="00B15B6B">
        <w:rPr>
          <w:rFonts w:asciiTheme="majorHAnsi" w:eastAsia="Calibri" w:hAnsiTheme="majorHAnsi"/>
          <w:sz w:val="20"/>
          <w:szCs w:val="20"/>
          <w:bdr w:val="none" w:sz="0" w:space="0" w:color="auto"/>
          <w:lang w:val="es-CO"/>
        </w:rPr>
        <w:t xml:space="preserve"> sancionatoria </w:t>
      </w:r>
      <w:r w:rsidR="004955CD" w:rsidRPr="00DE59B5">
        <w:rPr>
          <w:rFonts w:asciiTheme="majorHAnsi" w:eastAsia="Calibri" w:hAnsiTheme="majorHAnsi"/>
          <w:sz w:val="20"/>
          <w:szCs w:val="20"/>
          <w:bdr w:val="none" w:sz="0" w:space="0" w:color="auto"/>
          <w:lang w:val="es-CO"/>
        </w:rPr>
        <w:t>configuró</w:t>
      </w:r>
      <w:r w:rsidRPr="00DE59B5">
        <w:rPr>
          <w:rFonts w:asciiTheme="majorHAnsi" w:eastAsia="Calibri" w:hAnsiTheme="majorHAnsi"/>
          <w:sz w:val="20"/>
          <w:szCs w:val="20"/>
          <w:bdr w:val="none" w:sz="0" w:space="0" w:color="auto"/>
          <w:lang w:val="es-CO"/>
        </w:rPr>
        <w:t xml:space="preserve"> un cuestionamiento a su actuación jurisdiccional sustentada en criterios establecidos en</w:t>
      </w:r>
      <w:r w:rsidR="004955CD" w:rsidRPr="00DE59B5">
        <w:rPr>
          <w:rFonts w:asciiTheme="majorHAnsi" w:eastAsia="Calibri" w:hAnsiTheme="majorHAnsi"/>
          <w:sz w:val="20"/>
          <w:szCs w:val="20"/>
          <w:bdr w:val="none" w:sz="0" w:space="0" w:color="auto"/>
          <w:lang w:val="es-CO"/>
        </w:rPr>
        <w:t xml:space="preserve"> la legislación procesal penal. </w:t>
      </w:r>
      <w:r w:rsidRPr="00DE59B5">
        <w:rPr>
          <w:rFonts w:asciiTheme="majorHAnsi" w:eastAsia="Calibri" w:hAnsiTheme="majorHAnsi"/>
          <w:sz w:val="20"/>
          <w:szCs w:val="20"/>
          <w:bdr w:val="none" w:sz="0" w:space="0" w:color="auto"/>
          <w:lang w:val="es-CO"/>
        </w:rPr>
        <w:t xml:space="preserve">Afirmó que dicho cuestionamiento contradice los principios de independencia e imparcialidad de los jueces, así como el artículo 212 del Texto Único Ordenado de la Ley Orgánica del Poder Judicial, que establece que “[n]o da lugar a sanción la discrepancia de opinión y de criterio en la resolución de los procesos”. </w:t>
      </w:r>
    </w:p>
    <w:p w14:paraId="08354613" w14:textId="77777777" w:rsidR="00DE59B5" w:rsidRDefault="00DE59B5" w:rsidP="00975184">
      <w:pPr>
        <w:pStyle w:val="ListParagraph"/>
        <w:rPr>
          <w:rFonts w:asciiTheme="majorHAnsi" w:eastAsia="Calibri" w:hAnsiTheme="majorHAnsi"/>
          <w:sz w:val="20"/>
          <w:szCs w:val="20"/>
          <w:bdr w:val="none" w:sz="0" w:space="0" w:color="auto"/>
          <w:lang w:val="es-CO"/>
        </w:rPr>
      </w:pPr>
    </w:p>
    <w:p w14:paraId="7ECDF7E7" w14:textId="77777777" w:rsidR="00DE59B5" w:rsidRPr="00DE59B5" w:rsidRDefault="000271BA"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color w:val="000000" w:themeColor="text1"/>
          <w:sz w:val="20"/>
          <w:szCs w:val="20"/>
          <w:lang w:val="es-VE"/>
        </w:rPr>
      </w:pPr>
      <w:r w:rsidRPr="00DE59B5">
        <w:rPr>
          <w:rFonts w:asciiTheme="majorHAnsi" w:eastAsia="Calibri" w:hAnsiTheme="majorHAnsi"/>
          <w:sz w:val="20"/>
          <w:szCs w:val="20"/>
          <w:bdr w:val="none" w:sz="0" w:space="0" w:color="auto"/>
          <w:lang w:val="es-CO"/>
        </w:rPr>
        <w:t>Indicó que el 6 de septiembre de 1996 interpuso una acción de amparo que fue declarada improcedente. Añadió que tras presentar</w:t>
      </w:r>
      <w:r w:rsidR="00610754" w:rsidRPr="00DE59B5">
        <w:rPr>
          <w:rFonts w:asciiTheme="majorHAnsi" w:eastAsia="Calibri" w:hAnsiTheme="majorHAnsi"/>
          <w:sz w:val="20"/>
          <w:szCs w:val="20"/>
          <w:bdr w:val="none" w:sz="0" w:space="0" w:color="auto"/>
          <w:lang w:val="es-CO"/>
        </w:rPr>
        <w:t xml:space="preserve"> un </w:t>
      </w:r>
      <w:r w:rsidRPr="00DE59B5">
        <w:rPr>
          <w:rFonts w:asciiTheme="majorHAnsi" w:eastAsia="Calibri" w:hAnsiTheme="majorHAnsi"/>
          <w:sz w:val="20"/>
          <w:szCs w:val="20"/>
          <w:bdr w:val="none" w:sz="0" w:space="0" w:color="auto"/>
          <w:lang w:val="es-CO"/>
        </w:rPr>
        <w:t xml:space="preserve">recurso extraordinario, el Tribunal Constitucional dictó una sentencia el 8 de mayo de 1998, declarando </w:t>
      </w:r>
      <w:r w:rsidR="009A19DA" w:rsidRPr="00DE59B5">
        <w:rPr>
          <w:rFonts w:asciiTheme="majorHAnsi" w:eastAsia="Calibri" w:hAnsiTheme="majorHAnsi"/>
          <w:sz w:val="20"/>
          <w:szCs w:val="20"/>
          <w:bdr w:val="none" w:sz="0" w:space="0" w:color="auto"/>
          <w:lang w:val="es-CO"/>
        </w:rPr>
        <w:t>infundada la demanda de amparo.</w:t>
      </w:r>
    </w:p>
    <w:p w14:paraId="3EAC512E" w14:textId="77777777" w:rsidR="00DE59B5" w:rsidRDefault="00DE59B5" w:rsidP="00975184">
      <w:pPr>
        <w:pStyle w:val="ListParagraph"/>
        <w:rPr>
          <w:rFonts w:asciiTheme="majorHAnsi" w:eastAsia="Calibri" w:hAnsiTheme="majorHAnsi"/>
          <w:sz w:val="20"/>
          <w:szCs w:val="20"/>
          <w:bdr w:val="none" w:sz="0" w:space="0" w:color="auto"/>
          <w:lang w:val="es-CO"/>
        </w:rPr>
      </w:pPr>
    </w:p>
    <w:p w14:paraId="73B319B7" w14:textId="77777777" w:rsidR="00DE59B5" w:rsidRPr="00DE59B5" w:rsidRDefault="00AB7D31"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color w:val="000000" w:themeColor="text1"/>
          <w:sz w:val="20"/>
          <w:szCs w:val="20"/>
          <w:lang w:val="es-VE"/>
        </w:rPr>
      </w:pPr>
      <w:r w:rsidRPr="00DE59B5">
        <w:rPr>
          <w:rFonts w:asciiTheme="majorHAnsi" w:eastAsia="Calibri" w:hAnsiTheme="majorHAnsi"/>
          <w:sz w:val="20"/>
          <w:szCs w:val="20"/>
          <w:bdr w:val="none" w:sz="0" w:space="0" w:color="auto"/>
          <w:lang w:val="es-CO"/>
        </w:rPr>
        <w:t>La parte peticionaria</w:t>
      </w:r>
      <w:r w:rsidR="000271BA" w:rsidRPr="00DE59B5">
        <w:rPr>
          <w:rFonts w:asciiTheme="majorHAnsi" w:eastAsia="Calibri" w:hAnsiTheme="majorHAnsi"/>
          <w:sz w:val="20"/>
          <w:szCs w:val="20"/>
          <w:bdr w:val="none" w:sz="0" w:space="0" w:color="auto"/>
          <w:lang w:val="es-CO"/>
        </w:rPr>
        <w:t xml:space="preserve"> indicó que paralelamente al proceso disciplinario-sancionatorio, se le instauró un proceso penal por delito contra la administración de justicia en las modalidades de encubrimiento personal y prevaricato. Señaló que el 21 de junio de 2005 fue absuelto por la Segunda Sala Penal de la Corte Superior de Justicia de Huánuco, siendo dicha decisión mantenida en última instancia el 22 de agosto de 2005.</w:t>
      </w:r>
    </w:p>
    <w:p w14:paraId="38EE70AD" w14:textId="77777777" w:rsidR="00DE59B5" w:rsidRDefault="00DE59B5" w:rsidP="00975184">
      <w:pPr>
        <w:pStyle w:val="ListParagraph"/>
        <w:rPr>
          <w:rFonts w:asciiTheme="majorHAnsi" w:eastAsia="Calibri" w:hAnsiTheme="majorHAnsi"/>
          <w:sz w:val="20"/>
          <w:szCs w:val="20"/>
          <w:bdr w:val="none" w:sz="0" w:space="0" w:color="auto"/>
          <w:lang w:val="es-CO"/>
        </w:rPr>
      </w:pPr>
    </w:p>
    <w:p w14:paraId="2E65659B" w14:textId="77777777" w:rsidR="00DE59B5" w:rsidRPr="00DE59B5" w:rsidRDefault="000271BA"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color w:val="000000" w:themeColor="text1"/>
          <w:sz w:val="20"/>
          <w:szCs w:val="20"/>
          <w:lang w:val="es-VE"/>
        </w:rPr>
      </w:pPr>
      <w:r w:rsidRPr="00DE59B5">
        <w:rPr>
          <w:rFonts w:asciiTheme="majorHAnsi" w:eastAsia="Calibri" w:hAnsiTheme="majorHAnsi"/>
          <w:sz w:val="20"/>
          <w:szCs w:val="20"/>
          <w:bdr w:val="none" w:sz="0" w:space="0" w:color="auto"/>
          <w:lang w:val="es-CO"/>
        </w:rPr>
        <w:t xml:space="preserve">Alegó que el Estado es responsable por la violación del </w:t>
      </w:r>
      <w:r w:rsidRPr="00DE59B5">
        <w:rPr>
          <w:rFonts w:asciiTheme="majorHAnsi" w:eastAsia="Calibri" w:hAnsiTheme="majorHAnsi"/>
          <w:b/>
          <w:sz w:val="20"/>
          <w:szCs w:val="20"/>
          <w:bdr w:val="none" w:sz="0" w:space="0" w:color="auto"/>
          <w:lang w:val="es-CO"/>
        </w:rPr>
        <w:t>derecho al trabajo y a la estabilidad laboral</w:t>
      </w:r>
      <w:r w:rsidRPr="00DE59B5">
        <w:rPr>
          <w:rFonts w:asciiTheme="majorHAnsi" w:eastAsia="Calibri" w:hAnsiTheme="majorHAnsi"/>
          <w:sz w:val="20"/>
          <w:szCs w:val="20"/>
          <w:bdr w:val="none" w:sz="0" w:space="0" w:color="auto"/>
          <w:lang w:val="es-CO"/>
        </w:rPr>
        <w:t xml:space="preserve"> y sostuvo que Perú tiene la obligación de resarcir los daños causados por su destitución arbitraria.</w:t>
      </w:r>
    </w:p>
    <w:p w14:paraId="02F7AD1A" w14:textId="77777777" w:rsidR="00DE59B5" w:rsidRDefault="00DE59B5" w:rsidP="00975184">
      <w:pPr>
        <w:pStyle w:val="ListParagraph"/>
        <w:rPr>
          <w:rFonts w:asciiTheme="majorHAnsi" w:eastAsia="Calibri" w:hAnsiTheme="majorHAnsi"/>
          <w:sz w:val="20"/>
          <w:szCs w:val="20"/>
          <w:bdr w:val="none" w:sz="0" w:space="0" w:color="auto"/>
          <w:lang w:val="es-CO"/>
        </w:rPr>
      </w:pPr>
    </w:p>
    <w:p w14:paraId="72B85DFD" w14:textId="77777777" w:rsidR="009A19DA" w:rsidRPr="00DE59B5" w:rsidRDefault="000271BA"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color w:val="000000" w:themeColor="text1"/>
          <w:sz w:val="20"/>
          <w:szCs w:val="20"/>
          <w:lang w:val="es-VE"/>
        </w:rPr>
      </w:pPr>
      <w:r w:rsidRPr="00DE59B5">
        <w:rPr>
          <w:rFonts w:asciiTheme="majorHAnsi" w:eastAsia="Calibri" w:hAnsiTheme="majorHAnsi"/>
          <w:sz w:val="20"/>
          <w:szCs w:val="20"/>
          <w:bdr w:val="none" w:sz="0" w:space="0" w:color="auto"/>
          <w:lang w:val="es-CO"/>
        </w:rPr>
        <w:t>Finalmente, el peticionario reiteró que agotó todas las vías jurisdiccionales, siendo la última resolución la dictada por el Tribunal Constitucional que declaró infundada su acción.</w:t>
      </w:r>
      <w:r w:rsidRPr="00DE59B5">
        <w:rPr>
          <w:rFonts w:asciiTheme="majorHAnsi" w:hAnsiTheme="majorHAnsi"/>
          <w:color w:val="000000" w:themeColor="text1"/>
          <w:sz w:val="20"/>
          <w:szCs w:val="20"/>
          <w:lang w:val="es-VE"/>
        </w:rPr>
        <w:t xml:space="preserve"> </w:t>
      </w:r>
    </w:p>
    <w:p w14:paraId="25FA9ED0" w14:textId="77777777" w:rsidR="009A19DA" w:rsidRPr="00A321D3" w:rsidRDefault="009A19DA" w:rsidP="009751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olor w:val="000000" w:themeColor="text1"/>
          <w:sz w:val="20"/>
          <w:szCs w:val="20"/>
          <w:lang w:val="es-VE"/>
        </w:rPr>
      </w:pPr>
    </w:p>
    <w:p w14:paraId="1AAB4B56" w14:textId="77777777" w:rsidR="000271BA" w:rsidRPr="00A321D3" w:rsidRDefault="000271BA" w:rsidP="00975184">
      <w:pPr>
        <w:pStyle w:val="Heading2"/>
        <w:numPr>
          <w:ilvl w:val="0"/>
          <w:numId w:val="59"/>
        </w:numPr>
      </w:pPr>
      <w:bookmarkStart w:id="16" w:name="_Toc514247635"/>
      <w:r w:rsidRPr="00A321D3">
        <w:t>Estado</w:t>
      </w:r>
      <w:bookmarkEnd w:id="16"/>
    </w:p>
    <w:p w14:paraId="3875D771" w14:textId="77777777" w:rsidR="009A19DA" w:rsidRPr="00A321D3" w:rsidRDefault="009A19DA" w:rsidP="009751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color w:val="000000" w:themeColor="text1"/>
          <w:sz w:val="20"/>
          <w:szCs w:val="20"/>
          <w:lang w:val="es-VE"/>
        </w:rPr>
      </w:pPr>
    </w:p>
    <w:p w14:paraId="1BD6E28B" w14:textId="77777777" w:rsidR="00DE59B5" w:rsidRPr="00DE59B5" w:rsidRDefault="000271BA"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color w:val="000000" w:themeColor="text1"/>
          <w:sz w:val="20"/>
          <w:szCs w:val="20"/>
          <w:lang w:val="es-VE"/>
        </w:rPr>
      </w:pPr>
      <w:r w:rsidRPr="00A321D3">
        <w:rPr>
          <w:rFonts w:asciiTheme="majorHAnsi" w:eastAsia="Calibri" w:hAnsiTheme="majorHAnsi"/>
          <w:sz w:val="20"/>
          <w:szCs w:val="20"/>
          <w:bdr w:val="none" w:sz="0" w:space="0" w:color="auto"/>
          <w:lang w:val="es-ES"/>
        </w:rPr>
        <w:t xml:space="preserve">El Estado </w:t>
      </w:r>
      <w:r w:rsidR="00970B4C" w:rsidRPr="00A321D3">
        <w:rPr>
          <w:rFonts w:asciiTheme="majorHAnsi" w:eastAsia="Calibri" w:hAnsiTheme="majorHAnsi"/>
          <w:sz w:val="20"/>
          <w:szCs w:val="20"/>
          <w:bdr w:val="none" w:sz="0" w:space="0" w:color="auto"/>
          <w:lang w:val="es-ES"/>
        </w:rPr>
        <w:t xml:space="preserve">alegó que el proceso disciplinario cumplió todas las garantías convencionales y que la </w:t>
      </w:r>
      <w:r w:rsidR="00970B4C" w:rsidRPr="00DE59B5">
        <w:rPr>
          <w:rFonts w:asciiTheme="majorHAnsi" w:eastAsia="Calibri" w:hAnsiTheme="majorHAnsi"/>
          <w:sz w:val="20"/>
          <w:szCs w:val="20"/>
          <w:bdr w:val="none" w:sz="0" w:space="0" w:color="auto"/>
          <w:lang w:val="es-CO"/>
        </w:rPr>
        <w:t>destitución</w:t>
      </w:r>
      <w:r w:rsidR="00970B4C" w:rsidRPr="00A321D3">
        <w:rPr>
          <w:rFonts w:asciiTheme="majorHAnsi" w:eastAsia="Calibri" w:hAnsiTheme="majorHAnsi"/>
          <w:sz w:val="20"/>
          <w:szCs w:val="20"/>
          <w:bdr w:val="none" w:sz="0" w:space="0" w:color="auto"/>
          <w:lang w:val="es-ES"/>
        </w:rPr>
        <w:t xml:space="preserve"> se fundamentó en la inconducta </w:t>
      </w:r>
      <w:r w:rsidR="00995EDC" w:rsidRPr="00A321D3">
        <w:rPr>
          <w:rFonts w:asciiTheme="majorHAnsi" w:eastAsia="Calibri" w:hAnsiTheme="majorHAnsi"/>
          <w:sz w:val="20"/>
          <w:szCs w:val="20"/>
          <w:bdr w:val="none" w:sz="0" w:space="0" w:color="auto"/>
          <w:lang w:val="es-ES"/>
        </w:rPr>
        <w:t xml:space="preserve">funcional cometida por la presunta víctima al emitir </w:t>
      </w:r>
      <w:r w:rsidR="001D33EA" w:rsidRPr="00A321D3">
        <w:rPr>
          <w:rFonts w:asciiTheme="majorHAnsi" w:eastAsia="Calibri" w:hAnsiTheme="majorHAnsi"/>
          <w:sz w:val="20"/>
          <w:szCs w:val="20"/>
          <w:bdr w:val="none" w:sz="0" w:space="0" w:color="auto"/>
          <w:lang w:val="es-ES"/>
        </w:rPr>
        <w:t xml:space="preserve">la </w:t>
      </w:r>
      <w:r w:rsidR="00995EDC" w:rsidRPr="00A321D3">
        <w:rPr>
          <w:rFonts w:asciiTheme="majorHAnsi" w:eastAsia="Calibri" w:hAnsiTheme="majorHAnsi"/>
          <w:sz w:val="20"/>
          <w:szCs w:val="20"/>
          <w:bdr w:val="none" w:sz="0" w:space="0" w:color="auto"/>
          <w:lang w:val="es-ES"/>
        </w:rPr>
        <w:t xml:space="preserve">resolución </w:t>
      </w:r>
      <w:r w:rsidR="00111BBC" w:rsidRPr="00A321D3">
        <w:rPr>
          <w:rFonts w:asciiTheme="majorHAnsi" w:eastAsia="Calibri" w:hAnsiTheme="majorHAnsi"/>
          <w:sz w:val="20"/>
          <w:szCs w:val="20"/>
          <w:bdr w:val="none" w:sz="0" w:space="0" w:color="auto"/>
          <w:lang w:val="es-ES"/>
        </w:rPr>
        <w:t xml:space="preserve">de libertad incondicional </w:t>
      </w:r>
      <w:r w:rsidR="00995EDC" w:rsidRPr="00A321D3">
        <w:rPr>
          <w:rFonts w:asciiTheme="majorHAnsi" w:eastAsia="Calibri" w:hAnsiTheme="majorHAnsi"/>
          <w:sz w:val="20"/>
          <w:szCs w:val="20"/>
          <w:bdr w:val="none" w:sz="0" w:space="0" w:color="auto"/>
          <w:lang w:val="es-ES"/>
        </w:rPr>
        <w:t xml:space="preserve">que no cumplió con los requisitos exigidos por la ley. Asimismo, </w:t>
      </w:r>
      <w:r w:rsidR="00111BBC" w:rsidRPr="00A321D3">
        <w:rPr>
          <w:rFonts w:asciiTheme="majorHAnsi" w:eastAsia="Calibri" w:hAnsiTheme="majorHAnsi"/>
          <w:sz w:val="20"/>
          <w:szCs w:val="20"/>
          <w:bdr w:val="none" w:sz="0" w:space="0" w:color="auto"/>
          <w:lang w:val="es-ES"/>
        </w:rPr>
        <w:t xml:space="preserve">se refirió </w:t>
      </w:r>
      <w:r w:rsidRPr="00A321D3">
        <w:rPr>
          <w:rFonts w:asciiTheme="majorHAnsi" w:eastAsia="Calibri" w:hAnsiTheme="majorHAnsi"/>
          <w:sz w:val="20"/>
          <w:szCs w:val="20"/>
          <w:bdr w:val="none" w:sz="0" w:space="0" w:color="auto"/>
          <w:lang w:val="es-ES"/>
        </w:rPr>
        <w:t>a la demanda constitucional y al proceso penal, indicando que se cumplieron todas las garantías.</w:t>
      </w:r>
      <w:r w:rsidR="00970B4C" w:rsidRPr="00A321D3">
        <w:rPr>
          <w:rFonts w:asciiTheme="majorHAnsi" w:eastAsia="Calibri" w:hAnsiTheme="majorHAnsi"/>
          <w:sz w:val="20"/>
          <w:szCs w:val="20"/>
          <w:bdr w:val="none" w:sz="0" w:space="0" w:color="auto"/>
          <w:lang w:val="es-ES"/>
        </w:rPr>
        <w:t xml:space="preserve"> </w:t>
      </w:r>
    </w:p>
    <w:p w14:paraId="1DBDB5D5" w14:textId="77777777" w:rsidR="00DE59B5" w:rsidRPr="00DE59B5" w:rsidRDefault="00DE59B5"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color w:val="000000" w:themeColor="text1"/>
          <w:sz w:val="20"/>
          <w:szCs w:val="20"/>
          <w:lang w:val="es-VE"/>
        </w:rPr>
      </w:pPr>
    </w:p>
    <w:p w14:paraId="11F55CDC" w14:textId="5B8244C9" w:rsidR="00DE59B5" w:rsidRPr="00DE59B5" w:rsidRDefault="000271BA"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color w:val="000000" w:themeColor="text1"/>
          <w:sz w:val="20"/>
          <w:szCs w:val="20"/>
          <w:lang w:val="es-VE"/>
        </w:rPr>
      </w:pPr>
      <w:r w:rsidRPr="00DE59B5">
        <w:rPr>
          <w:rFonts w:asciiTheme="majorHAnsi" w:eastAsia="Calibri" w:hAnsiTheme="majorHAnsi"/>
          <w:sz w:val="20"/>
          <w:szCs w:val="20"/>
          <w:bdr w:val="none" w:sz="0" w:space="0" w:color="auto"/>
          <w:lang w:val="es-ES"/>
        </w:rPr>
        <w:t xml:space="preserve">Sobre la acción de amparo interpuesta por el señor Cordero contra el CNM, señaló que la misma, tenía como finalidad dejar sin efecto la </w:t>
      </w:r>
      <w:r w:rsidR="00BB7714">
        <w:rPr>
          <w:rFonts w:asciiTheme="majorHAnsi" w:eastAsia="Calibri" w:hAnsiTheme="majorHAnsi"/>
          <w:sz w:val="20"/>
          <w:szCs w:val="20"/>
          <w:bdr w:val="none" w:sz="0" w:space="0" w:color="auto"/>
          <w:lang w:val="es-ES"/>
        </w:rPr>
        <w:t>decisión sancionatoria</w:t>
      </w:r>
      <w:r w:rsidRPr="00DE59B5">
        <w:rPr>
          <w:rFonts w:asciiTheme="majorHAnsi" w:eastAsia="Calibri" w:hAnsiTheme="majorHAnsi"/>
          <w:sz w:val="20"/>
          <w:szCs w:val="20"/>
          <w:bdr w:val="none" w:sz="0" w:space="0" w:color="auto"/>
          <w:lang w:val="es-ES"/>
        </w:rPr>
        <w:t xml:space="preserve">. Afirmó que el Tribunal Constitucional declaró infundada dicha acción de amparo al considerar que el CNM conoció del proceso disciplinario a solicitud de la Corte Suprema de Justicia de la República en observancia de la ley y en un proceso en el que el demandante ejerció su derecho de defensa. </w:t>
      </w:r>
    </w:p>
    <w:p w14:paraId="0CF82B68" w14:textId="77777777" w:rsidR="00DE59B5" w:rsidRDefault="00DE59B5" w:rsidP="00975184">
      <w:pPr>
        <w:pStyle w:val="ListParagraph"/>
        <w:rPr>
          <w:rFonts w:asciiTheme="majorHAnsi" w:eastAsia="Calibri" w:hAnsiTheme="majorHAnsi"/>
          <w:sz w:val="20"/>
          <w:szCs w:val="20"/>
          <w:bdr w:val="none" w:sz="0" w:space="0" w:color="auto"/>
          <w:lang w:val="es-CO"/>
        </w:rPr>
      </w:pPr>
    </w:p>
    <w:p w14:paraId="27A5F333" w14:textId="77777777" w:rsidR="00DE59B5" w:rsidRPr="00DE59B5" w:rsidRDefault="000271BA"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color w:val="000000" w:themeColor="text1"/>
          <w:sz w:val="20"/>
          <w:szCs w:val="20"/>
          <w:lang w:val="es-VE"/>
        </w:rPr>
      </w:pPr>
      <w:r w:rsidRPr="00DE59B5">
        <w:rPr>
          <w:rFonts w:asciiTheme="majorHAnsi" w:eastAsia="Calibri" w:hAnsiTheme="majorHAnsi"/>
          <w:sz w:val="20"/>
          <w:szCs w:val="20"/>
          <w:bdr w:val="none" w:sz="0" w:space="0" w:color="auto"/>
          <w:lang w:val="es-CO"/>
        </w:rPr>
        <w:t>Sobre el proceso penal, el Estado afirmó que mediante escrito de 4 de mayo de 1998, el Ministerio Público formalizó denuncia penal contra el señor Cordero por los presuntos delitos de encubrimiento personal y prevaricato en agravio del Estado. Señaló que el 21 de junio de 2005 la Segunda Sala Penal de Huánuco, en sede de apelación, absolvió al señor Cordero y que dicha sentencia fue confirmada por la instancia superior mediante resolución de 22 de agosto de 2005, procediéndose a anular los antecedentes penales y judiciales generados.</w:t>
      </w:r>
    </w:p>
    <w:p w14:paraId="246FAAC5" w14:textId="77777777" w:rsidR="00DE59B5" w:rsidRDefault="00DE59B5" w:rsidP="00975184">
      <w:pPr>
        <w:pStyle w:val="ListParagraph"/>
        <w:rPr>
          <w:rFonts w:asciiTheme="majorHAnsi" w:eastAsia="Calibri" w:hAnsiTheme="majorHAnsi"/>
          <w:sz w:val="20"/>
          <w:szCs w:val="20"/>
          <w:bdr w:val="none" w:sz="0" w:space="0" w:color="auto"/>
          <w:lang w:val="es-CO"/>
        </w:rPr>
      </w:pPr>
    </w:p>
    <w:p w14:paraId="6AF706BB" w14:textId="2F95BA1F" w:rsidR="00DE59B5" w:rsidRPr="00DE59B5" w:rsidRDefault="000271BA"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color w:val="000000" w:themeColor="text1"/>
          <w:sz w:val="20"/>
          <w:szCs w:val="20"/>
          <w:lang w:val="es-VE"/>
        </w:rPr>
      </w:pPr>
      <w:r w:rsidRPr="00DE59B5">
        <w:rPr>
          <w:rFonts w:asciiTheme="majorHAnsi" w:eastAsia="Calibri" w:hAnsiTheme="majorHAnsi"/>
          <w:sz w:val="20"/>
          <w:szCs w:val="20"/>
          <w:bdr w:val="none" w:sz="0" w:space="0" w:color="auto"/>
          <w:lang w:val="es-CO"/>
        </w:rPr>
        <w:t>Sobre el proceso disciplinario y el proceso penal en contra del señor Cordero Bernal, el Estado argumentó que el CNM tiene la atribución de investigar y sancionar a los magistrados por faltas disciplinarias que se cometan, independientemente de la investigación penal que pueda realizar el Po</w:t>
      </w:r>
      <w:r w:rsidR="001D33EA" w:rsidRPr="00DE59B5">
        <w:rPr>
          <w:rFonts w:asciiTheme="majorHAnsi" w:eastAsia="Calibri" w:hAnsiTheme="majorHAnsi"/>
          <w:sz w:val="20"/>
          <w:szCs w:val="20"/>
          <w:bdr w:val="none" w:sz="0" w:space="0" w:color="auto"/>
          <w:lang w:val="es-CO"/>
        </w:rPr>
        <w:t>der Judicial. S</w:t>
      </w:r>
      <w:r w:rsidRPr="00DE59B5">
        <w:rPr>
          <w:rFonts w:asciiTheme="majorHAnsi" w:eastAsia="Calibri" w:hAnsiTheme="majorHAnsi"/>
          <w:sz w:val="20"/>
          <w:szCs w:val="20"/>
          <w:bdr w:val="none" w:sz="0" w:space="0" w:color="auto"/>
          <w:lang w:val="es-CO"/>
        </w:rPr>
        <w:t xml:space="preserve">eñaló que el objeto de la denuncia ante el Poder Judicial no fue impedir la destitución del señor Cordero, sino formular denuncia penal </w:t>
      </w:r>
      <w:r w:rsidR="00C93758">
        <w:rPr>
          <w:rFonts w:asciiTheme="majorHAnsi" w:eastAsia="Calibri" w:hAnsiTheme="majorHAnsi"/>
          <w:sz w:val="20"/>
          <w:szCs w:val="20"/>
          <w:bdr w:val="none" w:sz="0" w:space="0" w:color="auto"/>
          <w:lang w:val="es-CO"/>
        </w:rPr>
        <w:t xml:space="preserve">en su </w:t>
      </w:r>
      <w:r w:rsidRPr="00DE59B5">
        <w:rPr>
          <w:rFonts w:asciiTheme="majorHAnsi" w:eastAsia="Calibri" w:hAnsiTheme="majorHAnsi"/>
          <w:sz w:val="20"/>
          <w:szCs w:val="20"/>
          <w:bdr w:val="none" w:sz="0" w:space="0" w:color="auto"/>
          <w:lang w:val="es-CO"/>
        </w:rPr>
        <w:t>contra por presuntos delitos. Asimismo, indicó que el objeto del proceso disciplinario seguido en el CNM fue establecer si había cometido una “inconducta funcional”. C</w:t>
      </w:r>
      <w:r w:rsidR="001D33EA" w:rsidRPr="00DE59B5">
        <w:rPr>
          <w:rFonts w:asciiTheme="majorHAnsi" w:eastAsia="Calibri" w:hAnsiTheme="majorHAnsi"/>
          <w:sz w:val="20"/>
          <w:szCs w:val="20"/>
          <w:bdr w:val="none" w:sz="0" w:space="0" w:color="auto"/>
          <w:lang w:val="es-CO"/>
        </w:rPr>
        <w:t>oncluyó que ambas sentencias o</w:t>
      </w:r>
      <w:r w:rsidRPr="00DE59B5">
        <w:rPr>
          <w:rFonts w:asciiTheme="majorHAnsi" w:eastAsia="Calibri" w:hAnsiTheme="majorHAnsi"/>
          <w:sz w:val="20"/>
          <w:szCs w:val="20"/>
          <w:bdr w:val="none" w:sz="0" w:space="0" w:color="auto"/>
          <w:lang w:val="es-CO"/>
        </w:rPr>
        <w:t xml:space="preserve"> resoluciones definitivas son independientes en su contenido, en razón de su diferente naturaleza.</w:t>
      </w:r>
    </w:p>
    <w:p w14:paraId="21CA127F" w14:textId="77777777" w:rsidR="00DE59B5" w:rsidRDefault="00DE59B5" w:rsidP="00975184">
      <w:pPr>
        <w:pStyle w:val="ListParagraph"/>
        <w:rPr>
          <w:rFonts w:asciiTheme="majorHAnsi" w:eastAsia="Calibri" w:hAnsiTheme="majorHAnsi"/>
          <w:sz w:val="20"/>
          <w:szCs w:val="20"/>
          <w:bdr w:val="none" w:sz="0" w:space="0" w:color="auto"/>
          <w:lang w:val="es-CO"/>
        </w:rPr>
      </w:pPr>
    </w:p>
    <w:p w14:paraId="60344E9A" w14:textId="77777777" w:rsidR="00DE59B5" w:rsidRPr="00DE59B5" w:rsidRDefault="000271BA"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color w:val="000000" w:themeColor="text1"/>
          <w:sz w:val="20"/>
          <w:szCs w:val="20"/>
          <w:lang w:val="es-VE"/>
        </w:rPr>
      </w:pPr>
      <w:r w:rsidRPr="00DE59B5">
        <w:rPr>
          <w:rFonts w:asciiTheme="majorHAnsi" w:eastAsia="Calibri" w:hAnsiTheme="majorHAnsi"/>
          <w:sz w:val="20"/>
          <w:szCs w:val="20"/>
          <w:bdr w:val="none" w:sz="0" w:space="0" w:color="auto"/>
          <w:lang w:val="es-CO"/>
        </w:rPr>
        <w:t xml:space="preserve">En relación con los derechos laborales, indicó que el </w:t>
      </w:r>
      <w:r w:rsidRPr="00DE59B5">
        <w:rPr>
          <w:rFonts w:asciiTheme="majorHAnsi" w:eastAsia="Calibri" w:hAnsiTheme="majorHAnsi"/>
          <w:b/>
          <w:sz w:val="20"/>
          <w:szCs w:val="20"/>
          <w:bdr w:val="none" w:sz="0" w:space="0" w:color="auto"/>
          <w:lang w:val="es-CO"/>
        </w:rPr>
        <w:t xml:space="preserve">derecho al trabajo y a la estabilidad laboral </w:t>
      </w:r>
      <w:r w:rsidRPr="00DE59B5">
        <w:rPr>
          <w:rFonts w:asciiTheme="majorHAnsi" w:eastAsia="Calibri" w:hAnsiTheme="majorHAnsi"/>
          <w:sz w:val="20"/>
          <w:szCs w:val="20"/>
          <w:bdr w:val="none" w:sz="0" w:space="0" w:color="auto"/>
          <w:lang w:val="es-CO"/>
        </w:rPr>
        <w:t>no puede ser materia del sistema de peticiones individuales según el artículo 19.6 del Protocolo Adicional a la Convención Americana sobre Derechos Humanos en materia de Derechos Económicos, Sociales y Culturales “Protocolo de San Salvador”, por lo que argumentó que la Comisión carece de competencia material para pronunciarse sobre dicho aspecto en relación con las alegaciones del peticionario.</w:t>
      </w:r>
    </w:p>
    <w:p w14:paraId="51B85A30" w14:textId="77777777" w:rsidR="00DE59B5" w:rsidRDefault="00DE59B5" w:rsidP="00975184">
      <w:pPr>
        <w:pStyle w:val="ListParagraph"/>
        <w:rPr>
          <w:rFonts w:asciiTheme="majorHAnsi" w:eastAsia="Calibri" w:hAnsiTheme="majorHAnsi"/>
          <w:sz w:val="20"/>
          <w:szCs w:val="20"/>
          <w:bdr w:val="none" w:sz="0" w:space="0" w:color="auto"/>
          <w:lang w:val="es-CO"/>
        </w:rPr>
      </w:pPr>
    </w:p>
    <w:p w14:paraId="2868C106" w14:textId="443CEFC9" w:rsidR="003D0C5A" w:rsidRPr="00DE59B5" w:rsidRDefault="000271BA"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color w:val="000000" w:themeColor="text1"/>
          <w:sz w:val="20"/>
          <w:szCs w:val="20"/>
          <w:lang w:val="es-VE"/>
        </w:rPr>
      </w:pPr>
      <w:r w:rsidRPr="00DE59B5">
        <w:rPr>
          <w:rFonts w:asciiTheme="majorHAnsi" w:eastAsia="Calibri" w:hAnsiTheme="majorHAnsi"/>
          <w:sz w:val="20"/>
          <w:szCs w:val="20"/>
          <w:bdr w:val="none" w:sz="0" w:space="0" w:color="auto"/>
          <w:lang w:val="es-CO"/>
        </w:rPr>
        <w:t xml:space="preserve">Finalmente, sobre </w:t>
      </w:r>
      <w:r w:rsidRPr="00DE59B5">
        <w:rPr>
          <w:rFonts w:asciiTheme="majorHAnsi" w:eastAsia="Calibri" w:hAnsiTheme="majorHAnsi"/>
          <w:b/>
          <w:sz w:val="20"/>
          <w:szCs w:val="20"/>
          <w:bdr w:val="none" w:sz="0" w:space="0" w:color="auto"/>
          <w:lang w:val="es-CO"/>
        </w:rPr>
        <w:t>los derechos a las garantías judiciales y protección judicial</w:t>
      </w:r>
      <w:r w:rsidRPr="00DE59B5">
        <w:rPr>
          <w:rFonts w:asciiTheme="majorHAnsi" w:eastAsia="Calibri" w:hAnsiTheme="majorHAnsi"/>
          <w:sz w:val="20"/>
          <w:szCs w:val="20"/>
          <w:bdr w:val="none" w:sz="0" w:space="0" w:color="auto"/>
          <w:lang w:val="es-CO"/>
        </w:rPr>
        <w:t>, el Estado señaló que tanto en el proceso penal como en el administrativo, el señor Cordero contó en sede interna con los plazos y canales regulares que exige la justicia para hacer valer su derecho de defensa en pleno respeto de un debido proceso, a</w:t>
      </w:r>
      <w:r w:rsidR="0019558D">
        <w:rPr>
          <w:rFonts w:asciiTheme="majorHAnsi" w:eastAsia="Calibri" w:hAnsiTheme="majorHAnsi"/>
          <w:sz w:val="20"/>
          <w:szCs w:val="20"/>
          <w:bdr w:val="none" w:sz="0" w:space="0" w:color="auto"/>
          <w:lang w:val="es-CO"/>
        </w:rPr>
        <w:t xml:space="preserve"> la </w:t>
      </w:r>
      <w:r w:rsidRPr="00DE59B5">
        <w:rPr>
          <w:rFonts w:asciiTheme="majorHAnsi" w:eastAsia="Calibri" w:hAnsiTheme="majorHAnsi"/>
          <w:sz w:val="20"/>
          <w:szCs w:val="20"/>
          <w:bdr w:val="none" w:sz="0" w:space="0" w:color="auto"/>
          <w:lang w:val="es-CO"/>
        </w:rPr>
        <w:t>protección judicial y a</w:t>
      </w:r>
      <w:r w:rsidR="0019558D">
        <w:rPr>
          <w:rFonts w:asciiTheme="majorHAnsi" w:eastAsia="Calibri" w:hAnsiTheme="majorHAnsi"/>
          <w:sz w:val="20"/>
          <w:szCs w:val="20"/>
          <w:bdr w:val="none" w:sz="0" w:space="0" w:color="auto"/>
          <w:lang w:val="es-CO"/>
        </w:rPr>
        <w:t xml:space="preserve"> la</w:t>
      </w:r>
      <w:r w:rsidRPr="00DE59B5">
        <w:rPr>
          <w:rFonts w:asciiTheme="majorHAnsi" w:eastAsia="Calibri" w:hAnsiTheme="majorHAnsi"/>
          <w:sz w:val="20"/>
          <w:szCs w:val="20"/>
          <w:bdr w:val="none" w:sz="0" w:space="0" w:color="auto"/>
          <w:lang w:val="es-CO"/>
        </w:rPr>
        <w:t xml:space="preserve"> legalidad. Afirmó que en el presente caso no existió arbitrariedad judicial o administrativa alguna ni un impedimento de acceso al peticionario a los recursos que la jurisdicción interna ofrecía.</w:t>
      </w:r>
      <w:r w:rsidR="003D0C5A" w:rsidRPr="00DE59B5">
        <w:rPr>
          <w:rFonts w:asciiTheme="majorHAnsi" w:eastAsia="Calibri" w:hAnsiTheme="majorHAnsi"/>
          <w:sz w:val="20"/>
          <w:szCs w:val="20"/>
          <w:bdr w:val="none" w:sz="0" w:space="0" w:color="auto"/>
          <w:lang w:val="es-CO"/>
        </w:rPr>
        <w:t xml:space="preserve"> </w:t>
      </w:r>
    </w:p>
    <w:p w14:paraId="55C1D7FF" w14:textId="77777777" w:rsidR="00FD0B6D" w:rsidRPr="00A321D3" w:rsidRDefault="00FD0B6D" w:rsidP="00975184">
      <w:pPr>
        <w:rPr>
          <w:rFonts w:asciiTheme="majorHAnsi" w:eastAsia="Times New Roman" w:hAnsiTheme="majorHAnsi"/>
          <w:sz w:val="20"/>
          <w:szCs w:val="20"/>
          <w:bdr w:val="none" w:sz="0" w:space="0" w:color="auto"/>
          <w:lang w:val="es-CO"/>
        </w:rPr>
      </w:pPr>
    </w:p>
    <w:p w14:paraId="08884328" w14:textId="77777777" w:rsidR="006C6164" w:rsidRPr="00A321D3" w:rsidRDefault="00E40449" w:rsidP="00975184">
      <w:pPr>
        <w:pStyle w:val="Heading1"/>
        <w:numPr>
          <w:ilvl w:val="0"/>
          <w:numId w:val="55"/>
        </w:numPr>
        <w:tabs>
          <w:tab w:val="clear" w:pos="1440"/>
        </w:tabs>
      </w:pPr>
      <w:bookmarkStart w:id="17" w:name="_Toc370840748"/>
      <w:bookmarkStart w:id="18" w:name="_Toc370840844"/>
      <w:bookmarkStart w:id="19" w:name="_Toc423514410"/>
      <w:bookmarkStart w:id="20" w:name="_Toc433115986"/>
      <w:bookmarkStart w:id="21" w:name="_Toc444958129"/>
      <w:bookmarkStart w:id="22" w:name="_Toc479004114"/>
      <w:bookmarkStart w:id="23" w:name="_Toc514247636"/>
      <w:r w:rsidRPr="00A321D3">
        <w:t>HECHOS PROBADOS</w:t>
      </w:r>
      <w:bookmarkEnd w:id="17"/>
      <w:bookmarkEnd w:id="18"/>
      <w:bookmarkEnd w:id="19"/>
      <w:bookmarkEnd w:id="20"/>
      <w:bookmarkEnd w:id="21"/>
      <w:bookmarkEnd w:id="22"/>
      <w:bookmarkEnd w:id="23"/>
    </w:p>
    <w:p w14:paraId="6E85101F" w14:textId="77777777" w:rsidR="00205EF2" w:rsidRPr="00A321D3" w:rsidRDefault="00205EF2" w:rsidP="009751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es-CO"/>
        </w:rPr>
      </w:pPr>
    </w:p>
    <w:p w14:paraId="01C8771E" w14:textId="70C7DA9E" w:rsidR="006C6164" w:rsidRPr="00A321D3" w:rsidRDefault="00205EF2" w:rsidP="00975184">
      <w:pPr>
        <w:pStyle w:val="Heading2"/>
        <w:numPr>
          <w:ilvl w:val="0"/>
          <w:numId w:val="61"/>
        </w:numPr>
        <w:ind w:left="1440" w:hanging="720"/>
        <w:rPr>
          <w:rFonts w:cs="Arial"/>
          <w:bCs/>
          <w:iCs/>
          <w:lang w:val="es-VE"/>
        </w:rPr>
      </w:pPr>
      <w:bookmarkStart w:id="24" w:name="_Toc514247637"/>
      <w:r w:rsidRPr="00A321D3">
        <w:rPr>
          <w:rFonts w:cs="Arial"/>
          <w:bCs/>
          <w:iCs/>
          <w:lang w:val="es-VE"/>
        </w:rPr>
        <w:t>Sobre el marco normativo aplicable al procedimiento disciplinario</w:t>
      </w:r>
      <w:r w:rsidR="00575729">
        <w:rPr>
          <w:rFonts w:cs="Arial"/>
          <w:bCs/>
          <w:iCs/>
          <w:lang w:val="es-VE"/>
        </w:rPr>
        <w:t xml:space="preserve"> </w:t>
      </w:r>
      <w:r w:rsidRPr="00A321D3">
        <w:rPr>
          <w:rFonts w:cs="Arial"/>
          <w:bCs/>
          <w:iCs/>
          <w:lang w:val="es-VE"/>
        </w:rPr>
        <w:t>sancionatorio en contra de jueces y juezas en Perú</w:t>
      </w:r>
      <w:bookmarkEnd w:id="24"/>
    </w:p>
    <w:p w14:paraId="028E6523" w14:textId="77777777" w:rsidR="00610754" w:rsidRPr="00A321D3" w:rsidRDefault="00610754" w:rsidP="00975184">
      <w:pPr>
        <w:rPr>
          <w:rFonts w:asciiTheme="majorHAnsi" w:hAnsiTheme="majorHAnsi"/>
          <w:sz w:val="20"/>
          <w:szCs w:val="20"/>
          <w:lang w:val="es-VE"/>
        </w:rPr>
      </w:pPr>
    </w:p>
    <w:p w14:paraId="2BCA9BC7" w14:textId="25888525" w:rsidR="00DE59B5" w:rsidRDefault="00575729"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Pr>
          <w:rFonts w:asciiTheme="majorHAnsi" w:hAnsiTheme="majorHAnsi"/>
          <w:sz w:val="20"/>
          <w:szCs w:val="20"/>
          <w:lang w:val="es-CO"/>
        </w:rPr>
        <w:t>El procedimie</w:t>
      </w:r>
      <w:r w:rsidR="00502D57">
        <w:rPr>
          <w:rFonts w:asciiTheme="majorHAnsi" w:hAnsiTheme="majorHAnsi"/>
          <w:sz w:val="20"/>
          <w:szCs w:val="20"/>
          <w:lang w:val="es-CO"/>
        </w:rPr>
        <w:t>n</w:t>
      </w:r>
      <w:r>
        <w:rPr>
          <w:rFonts w:asciiTheme="majorHAnsi" w:hAnsiTheme="majorHAnsi"/>
          <w:sz w:val="20"/>
          <w:szCs w:val="20"/>
          <w:lang w:val="es-CO"/>
        </w:rPr>
        <w:t xml:space="preserve">to disciplinario aplicado a la </w:t>
      </w:r>
      <w:r w:rsidR="00502D57">
        <w:rPr>
          <w:rFonts w:asciiTheme="majorHAnsi" w:hAnsiTheme="majorHAnsi"/>
          <w:sz w:val="20"/>
          <w:szCs w:val="20"/>
          <w:lang w:val="es-CO"/>
        </w:rPr>
        <w:t xml:space="preserve">presunta </w:t>
      </w:r>
      <w:r>
        <w:rPr>
          <w:rFonts w:asciiTheme="majorHAnsi" w:hAnsiTheme="majorHAnsi"/>
          <w:sz w:val="20"/>
          <w:szCs w:val="20"/>
          <w:lang w:val="es-CO"/>
        </w:rPr>
        <w:t xml:space="preserve">víctima, </w:t>
      </w:r>
      <w:r w:rsidR="00502D57">
        <w:rPr>
          <w:rFonts w:asciiTheme="majorHAnsi" w:hAnsiTheme="majorHAnsi"/>
          <w:sz w:val="20"/>
          <w:szCs w:val="20"/>
          <w:lang w:val="es-CO"/>
        </w:rPr>
        <w:t>s</w:t>
      </w:r>
      <w:r w:rsidR="00F46030" w:rsidRPr="00A321D3">
        <w:rPr>
          <w:rFonts w:asciiTheme="majorHAnsi" w:hAnsiTheme="majorHAnsi"/>
          <w:sz w:val="20"/>
          <w:szCs w:val="20"/>
          <w:lang w:val="es-CO"/>
        </w:rPr>
        <w:t>e encuentra regulado en la Constitución Política del Perú, en la Ley Orgánica del Poder Judicial, en la Ley No. 26397 y en la Ley No. 26933.</w:t>
      </w:r>
    </w:p>
    <w:p w14:paraId="16C6E447" w14:textId="77777777" w:rsidR="00DE59B5" w:rsidRDefault="00DE59B5"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67303276" w14:textId="280366E4" w:rsidR="008C7D65" w:rsidRPr="00DE59B5" w:rsidRDefault="00F46030"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DE59B5">
        <w:rPr>
          <w:rFonts w:asciiTheme="majorHAnsi" w:hAnsiTheme="majorHAnsi"/>
          <w:sz w:val="20"/>
          <w:szCs w:val="20"/>
          <w:lang w:val="es-CO"/>
        </w:rPr>
        <w:t>La Constitución Política del Perú dispone que:</w:t>
      </w:r>
    </w:p>
    <w:p w14:paraId="3F0CBB53" w14:textId="77777777" w:rsidR="008C7D65" w:rsidRPr="00A321D3" w:rsidRDefault="008C7D65" w:rsidP="00975184">
      <w:pPr>
        <w:pStyle w:val="ListParagraph"/>
        <w:rPr>
          <w:rFonts w:asciiTheme="majorHAnsi" w:hAnsiTheme="majorHAnsi"/>
          <w:sz w:val="20"/>
          <w:szCs w:val="20"/>
          <w:lang w:val="es-CO"/>
        </w:rPr>
      </w:pPr>
    </w:p>
    <w:p w14:paraId="667B2C8D" w14:textId="55FF2FC2" w:rsidR="008C7D65" w:rsidRPr="00A321D3" w:rsidRDefault="00F46030" w:rsidP="009751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lang w:val="es-CO"/>
        </w:rPr>
      </w:pPr>
      <w:r w:rsidRPr="00A321D3">
        <w:rPr>
          <w:rFonts w:asciiTheme="majorHAnsi" w:hAnsiTheme="majorHAnsi"/>
          <w:sz w:val="20"/>
          <w:szCs w:val="20"/>
          <w:lang w:val="es-CO"/>
        </w:rPr>
        <w:t>Artículo 154°-. Son funciones del Consejo Nacional de la Magistratura:</w:t>
      </w:r>
      <w:r w:rsidR="00B53EE3">
        <w:rPr>
          <w:rFonts w:asciiTheme="majorHAnsi" w:hAnsiTheme="majorHAnsi"/>
          <w:sz w:val="20"/>
          <w:szCs w:val="20"/>
          <w:lang w:val="es-CO"/>
        </w:rPr>
        <w:t xml:space="preserve"> </w:t>
      </w:r>
      <w:r w:rsidRPr="00A321D3">
        <w:rPr>
          <w:rFonts w:asciiTheme="majorHAnsi" w:hAnsiTheme="majorHAnsi"/>
          <w:sz w:val="20"/>
          <w:szCs w:val="20"/>
          <w:lang w:val="es-CO"/>
        </w:rPr>
        <w:t>(…)</w:t>
      </w:r>
    </w:p>
    <w:p w14:paraId="1E690F6A" w14:textId="77777777" w:rsidR="006C6164" w:rsidRPr="00A321D3" w:rsidRDefault="00F46030" w:rsidP="009751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hAnsiTheme="majorHAnsi"/>
          <w:sz w:val="20"/>
          <w:szCs w:val="20"/>
          <w:lang w:val="es-CO"/>
        </w:rPr>
      </w:pPr>
      <w:r w:rsidRPr="00A321D3">
        <w:rPr>
          <w:rFonts w:asciiTheme="majorHAnsi" w:hAnsiTheme="majorHAnsi"/>
          <w:sz w:val="20"/>
          <w:szCs w:val="20"/>
          <w:lang w:val="es-CO"/>
        </w:rPr>
        <w:t>3. Aplicar la sanción de destitución a los vocales de la Corte Suprema y Fiscales Supremos y, a solicitud de la Corte Suprema o de la Junta de Fiscales Supremos, respectivamente, a los jueces y fiscales de todas las instancias. La resolución final, motivada y con previa audiencia del interesado, es inimpugnable</w:t>
      </w:r>
      <w:r w:rsidRPr="00A321D3">
        <w:rPr>
          <w:rStyle w:val="FootnoteReference"/>
          <w:rFonts w:asciiTheme="majorHAnsi" w:hAnsiTheme="majorHAnsi"/>
          <w:sz w:val="20"/>
          <w:szCs w:val="20"/>
          <w:lang w:val="es-CO"/>
        </w:rPr>
        <w:footnoteReference w:id="2"/>
      </w:r>
      <w:r w:rsidRPr="00A321D3">
        <w:rPr>
          <w:rFonts w:asciiTheme="majorHAnsi" w:hAnsiTheme="majorHAnsi"/>
          <w:sz w:val="20"/>
          <w:szCs w:val="20"/>
          <w:lang w:val="es-CO"/>
        </w:rPr>
        <w:t>.</w:t>
      </w:r>
    </w:p>
    <w:p w14:paraId="3F812874" w14:textId="77777777" w:rsidR="008C7D65" w:rsidRPr="00A321D3" w:rsidRDefault="008C7D65" w:rsidP="009751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CO"/>
        </w:rPr>
      </w:pPr>
    </w:p>
    <w:p w14:paraId="58F9C6E7" w14:textId="77777777" w:rsidR="00DE59B5" w:rsidRDefault="00F46030"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321D3">
        <w:rPr>
          <w:rFonts w:asciiTheme="majorHAnsi" w:hAnsiTheme="majorHAnsi"/>
          <w:sz w:val="20"/>
          <w:szCs w:val="20"/>
          <w:lang w:val="es-CO"/>
        </w:rPr>
        <w:t xml:space="preserve">Asimismo, la Constitución establece en su artículo 142 que </w:t>
      </w:r>
      <w:r w:rsidR="00393ACC" w:rsidRPr="00A321D3">
        <w:rPr>
          <w:rFonts w:asciiTheme="majorHAnsi" w:hAnsiTheme="majorHAnsi"/>
          <w:sz w:val="20"/>
          <w:szCs w:val="20"/>
          <w:lang w:val="es-CO"/>
        </w:rPr>
        <w:t>“n</w:t>
      </w:r>
      <w:r w:rsidRPr="00A321D3">
        <w:rPr>
          <w:rFonts w:asciiTheme="majorHAnsi" w:hAnsiTheme="majorHAnsi"/>
          <w:sz w:val="20"/>
          <w:szCs w:val="20"/>
          <w:lang w:val="es-CO"/>
        </w:rPr>
        <w:t>o son revisables en sede judicial las resoluciones del Jurado Nacional de Elecciones en materia electoral, ni las del Consejo Nacional de Elecciones en materia electoral, ni las del Consejo Nacional de Magistratura en materia de evaluación y ratificación de jueces”</w:t>
      </w:r>
      <w:r w:rsidRPr="00A321D3">
        <w:rPr>
          <w:rFonts w:asciiTheme="majorHAnsi" w:hAnsiTheme="majorHAnsi"/>
          <w:sz w:val="20"/>
          <w:szCs w:val="20"/>
          <w:vertAlign w:val="superscript"/>
          <w:lang w:val="es-CO"/>
        </w:rPr>
        <w:footnoteReference w:id="3"/>
      </w:r>
      <w:r w:rsidRPr="00A321D3">
        <w:rPr>
          <w:rFonts w:asciiTheme="majorHAnsi" w:hAnsiTheme="majorHAnsi"/>
          <w:sz w:val="20"/>
          <w:szCs w:val="20"/>
          <w:lang w:val="es-CO"/>
        </w:rPr>
        <w:t>.</w:t>
      </w:r>
    </w:p>
    <w:p w14:paraId="015060D1" w14:textId="77777777" w:rsidR="00DE59B5" w:rsidRDefault="00DE59B5"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1463F766" w14:textId="77777777" w:rsidR="001050CB" w:rsidRDefault="001050CB"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5A16B2CF" w14:textId="77777777" w:rsidR="001050CB" w:rsidRDefault="001050CB"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039EDDB0" w14:textId="77777777" w:rsidR="00DE59B5" w:rsidRDefault="00552AD9"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DE59B5">
        <w:rPr>
          <w:rFonts w:asciiTheme="majorHAnsi" w:hAnsiTheme="majorHAnsi"/>
          <w:sz w:val="20"/>
          <w:szCs w:val="20"/>
          <w:lang w:val="es-CO"/>
        </w:rPr>
        <w:t>La Ley Orgánica del Poder Judicial dispone lo siguiente:</w:t>
      </w:r>
    </w:p>
    <w:p w14:paraId="00AB5F6A" w14:textId="77777777" w:rsidR="00DE59B5" w:rsidRDefault="00DE59B5" w:rsidP="00975184">
      <w:pPr>
        <w:pStyle w:val="ListParagraph"/>
        <w:rPr>
          <w:rFonts w:asciiTheme="majorHAnsi" w:hAnsiTheme="majorHAnsi"/>
          <w:sz w:val="20"/>
          <w:szCs w:val="20"/>
          <w:lang w:val="es-CO"/>
        </w:rPr>
      </w:pPr>
    </w:p>
    <w:p w14:paraId="49782681" w14:textId="77777777" w:rsidR="00DE59B5" w:rsidRDefault="00FC75D1"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r w:rsidRPr="00DE59B5">
        <w:rPr>
          <w:rFonts w:asciiTheme="majorHAnsi" w:hAnsiTheme="majorHAnsi"/>
          <w:sz w:val="20"/>
          <w:szCs w:val="20"/>
          <w:lang w:val="es-CO"/>
        </w:rPr>
        <w:t>Artículo 206- SANCIONES Y MEDIDAS DISCIPLINARIAS. Las sanciones</w:t>
      </w:r>
      <w:r w:rsidR="0039101A" w:rsidRPr="00DE59B5">
        <w:rPr>
          <w:rFonts w:asciiTheme="majorHAnsi" w:hAnsiTheme="majorHAnsi"/>
          <w:sz w:val="20"/>
          <w:szCs w:val="20"/>
          <w:lang w:val="es-CO"/>
        </w:rPr>
        <w:t xml:space="preserve"> y medidas disciplinarias son: </w:t>
      </w:r>
      <w:r w:rsidRPr="00DE59B5">
        <w:rPr>
          <w:rFonts w:asciiTheme="majorHAnsi" w:hAnsiTheme="majorHAnsi"/>
          <w:sz w:val="20"/>
          <w:szCs w:val="20"/>
          <w:lang w:val="es-CO"/>
        </w:rPr>
        <w:t>(…) 3.</w:t>
      </w:r>
      <w:r w:rsidR="008C7D65" w:rsidRPr="00DE59B5">
        <w:rPr>
          <w:rFonts w:asciiTheme="majorHAnsi" w:hAnsiTheme="majorHAnsi"/>
          <w:sz w:val="20"/>
          <w:szCs w:val="20"/>
          <w:lang w:val="es-CO"/>
        </w:rPr>
        <w:t xml:space="preserve"> Suspensión; (…) 5. Destitución</w:t>
      </w:r>
      <w:r w:rsidR="0039101A" w:rsidRPr="00DE59B5">
        <w:rPr>
          <w:rFonts w:asciiTheme="majorHAnsi" w:hAnsiTheme="majorHAnsi"/>
          <w:sz w:val="20"/>
          <w:szCs w:val="20"/>
          <w:lang w:val="es-CO"/>
        </w:rPr>
        <w:t>.</w:t>
      </w:r>
    </w:p>
    <w:p w14:paraId="2169F7E3" w14:textId="77777777" w:rsidR="00DE59B5" w:rsidRDefault="00DE59B5"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p>
    <w:p w14:paraId="795784D8" w14:textId="46A4634F" w:rsidR="00DE59B5" w:rsidRDefault="00552AD9"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r w:rsidRPr="00A321D3">
        <w:rPr>
          <w:rFonts w:asciiTheme="majorHAnsi" w:hAnsiTheme="majorHAnsi"/>
          <w:sz w:val="20"/>
          <w:szCs w:val="20"/>
          <w:lang w:val="es-CO"/>
        </w:rPr>
        <w:t>Artículo 210-SUSPENSIÓN-. La suspensión se aplica al Magistrado o funcionario contra quien se dicta orden de detención, o se formula acusación con pedido de pena privativa de la libe</w:t>
      </w:r>
      <w:r w:rsidR="008C7D65" w:rsidRPr="00A321D3">
        <w:rPr>
          <w:rFonts w:asciiTheme="majorHAnsi" w:hAnsiTheme="majorHAnsi"/>
          <w:sz w:val="20"/>
          <w:szCs w:val="20"/>
          <w:lang w:val="es-CO"/>
        </w:rPr>
        <w:t xml:space="preserve">rtad, </w:t>
      </w:r>
      <w:r w:rsidR="001C328C">
        <w:rPr>
          <w:rFonts w:asciiTheme="majorHAnsi" w:hAnsiTheme="majorHAnsi"/>
          <w:sz w:val="20"/>
          <w:szCs w:val="20"/>
          <w:lang w:val="es-CO"/>
        </w:rPr>
        <w:t xml:space="preserve">en </w:t>
      </w:r>
      <w:r w:rsidR="008C7D65" w:rsidRPr="00A321D3">
        <w:rPr>
          <w:rFonts w:asciiTheme="majorHAnsi" w:hAnsiTheme="majorHAnsi"/>
          <w:sz w:val="20"/>
          <w:szCs w:val="20"/>
          <w:lang w:val="es-CO"/>
        </w:rPr>
        <w:t>proceso por delito doloso</w:t>
      </w:r>
      <w:r w:rsidR="0039101A" w:rsidRPr="00A321D3">
        <w:rPr>
          <w:rFonts w:asciiTheme="majorHAnsi" w:hAnsiTheme="majorHAnsi"/>
          <w:sz w:val="20"/>
          <w:szCs w:val="20"/>
          <w:lang w:val="es-CO"/>
        </w:rPr>
        <w:t>.</w:t>
      </w:r>
    </w:p>
    <w:p w14:paraId="2D905A51" w14:textId="77777777" w:rsidR="00DE59B5" w:rsidRDefault="00DE59B5"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p>
    <w:p w14:paraId="15E5950B" w14:textId="77777777" w:rsidR="008C7D65" w:rsidRPr="00A321D3" w:rsidRDefault="00552AD9"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r w:rsidRPr="00A321D3">
        <w:rPr>
          <w:rFonts w:asciiTheme="majorHAnsi" w:hAnsiTheme="majorHAnsi"/>
          <w:sz w:val="20"/>
          <w:szCs w:val="20"/>
          <w:lang w:val="es-CO"/>
        </w:rPr>
        <w:t xml:space="preserve">Se aplica también al Magistrado que comete un hecho grave que sin ser delito compromete la dignidad del cargo o lo desmerezca en el concepto público o cuando se incurre en nueva infracción grave, después de haber sido </w:t>
      </w:r>
      <w:r w:rsidR="008C7D65" w:rsidRPr="00A321D3">
        <w:rPr>
          <w:rFonts w:asciiTheme="majorHAnsi" w:hAnsiTheme="majorHAnsi"/>
          <w:sz w:val="20"/>
          <w:szCs w:val="20"/>
          <w:lang w:val="es-CO"/>
        </w:rPr>
        <w:t>sancionado tres veces con multa</w:t>
      </w:r>
      <w:r w:rsidR="0039101A" w:rsidRPr="00A321D3">
        <w:rPr>
          <w:rFonts w:asciiTheme="majorHAnsi" w:hAnsiTheme="majorHAnsi"/>
          <w:sz w:val="20"/>
          <w:szCs w:val="20"/>
          <w:lang w:val="es-CO"/>
        </w:rPr>
        <w:t>.</w:t>
      </w:r>
    </w:p>
    <w:p w14:paraId="239382A4" w14:textId="77777777" w:rsidR="008C7D65" w:rsidRPr="00A321D3" w:rsidRDefault="008C7D65" w:rsidP="009751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CO"/>
        </w:rPr>
      </w:pPr>
    </w:p>
    <w:p w14:paraId="6D079788" w14:textId="77777777" w:rsidR="008C7D65" w:rsidRPr="00A321D3" w:rsidRDefault="00552AD9" w:rsidP="009751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CO"/>
        </w:rPr>
      </w:pPr>
      <w:r w:rsidRPr="00A321D3">
        <w:rPr>
          <w:rFonts w:asciiTheme="majorHAnsi" w:hAnsiTheme="majorHAnsi"/>
          <w:sz w:val="20"/>
          <w:szCs w:val="20"/>
          <w:lang w:val="es-CO"/>
        </w:rPr>
        <w:t xml:space="preserve">La suspensión se acuerda por los organismos que esta ley establece. Es sin goce de haber y </w:t>
      </w:r>
      <w:r w:rsidR="008C7D65" w:rsidRPr="00A321D3">
        <w:rPr>
          <w:rFonts w:asciiTheme="majorHAnsi" w:hAnsiTheme="majorHAnsi"/>
          <w:sz w:val="20"/>
          <w:szCs w:val="20"/>
          <w:lang w:val="es-CO"/>
        </w:rPr>
        <w:t>no puede ser mayor de dos meses</w:t>
      </w:r>
      <w:r w:rsidR="0039101A" w:rsidRPr="00A321D3">
        <w:rPr>
          <w:rFonts w:asciiTheme="majorHAnsi" w:hAnsiTheme="majorHAnsi"/>
          <w:sz w:val="20"/>
          <w:szCs w:val="20"/>
          <w:lang w:val="es-CO"/>
        </w:rPr>
        <w:t>.</w:t>
      </w:r>
    </w:p>
    <w:p w14:paraId="574D20F5" w14:textId="77777777" w:rsidR="008C7D65" w:rsidRPr="00A321D3" w:rsidRDefault="008C7D65" w:rsidP="009751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CO"/>
        </w:rPr>
      </w:pPr>
    </w:p>
    <w:p w14:paraId="44F64E37" w14:textId="77777777" w:rsidR="008C7D65" w:rsidRPr="00A321D3" w:rsidRDefault="00552AD9" w:rsidP="009751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CO"/>
        </w:rPr>
      </w:pPr>
      <w:r w:rsidRPr="00A321D3">
        <w:rPr>
          <w:rFonts w:asciiTheme="majorHAnsi" w:hAnsiTheme="majorHAnsi"/>
          <w:sz w:val="20"/>
          <w:szCs w:val="20"/>
          <w:lang w:val="es-CO"/>
        </w:rPr>
        <w:t>Artículo 211-DESTITUCIÓN-. La destitución es impuesta por los organismos que dispone esta ley, requiriéndose el voto sancionatorio de más de la mitad del número total de integrantes del organismo respectivo.</w:t>
      </w:r>
    </w:p>
    <w:p w14:paraId="38236D72" w14:textId="77777777" w:rsidR="008C7D65" w:rsidRPr="00A321D3" w:rsidRDefault="008C7D65" w:rsidP="009751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CO"/>
        </w:rPr>
      </w:pPr>
    </w:p>
    <w:p w14:paraId="422A839C" w14:textId="77777777" w:rsidR="008C7D65" w:rsidRDefault="00552AD9" w:rsidP="009751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CO"/>
        </w:rPr>
      </w:pPr>
      <w:r w:rsidRPr="00A321D3">
        <w:rPr>
          <w:rFonts w:asciiTheme="majorHAnsi" w:hAnsiTheme="majorHAnsi"/>
          <w:sz w:val="20"/>
          <w:szCs w:val="20"/>
          <w:lang w:val="es-CO"/>
        </w:rPr>
        <w:t>Procede aplicarse la destitución al Magistrado que atente gravemente contra la responsabilidad del Poder Judicial; al que ha cometido hecho grave que sin ser delito, compromete la dignidad del cargo y desmerezca en el concepto público, siempre que haya sido sanciona</w:t>
      </w:r>
      <w:r w:rsidR="00816064" w:rsidRPr="00A321D3">
        <w:rPr>
          <w:rFonts w:asciiTheme="majorHAnsi" w:hAnsiTheme="majorHAnsi"/>
          <w:sz w:val="20"/>
          <w:szCs w:val="20"/>
          <w:lang w:val="es-CO"/>
        </w:rPr>
        <w:t>do con suspensión anteriormente (</w:t>
      </w:r>
      <w:r w:rsidRPr="00A321D3">
        <w:rPr>
          <w:rFonts w:asciiTheme="majorHAnsi" w:hAnsiTheme="majorHAnsi"/>
          <w:sz w:val="20"/>
          <w:szCs w:val="20"/>
          <w:lang w:val="es-CO"/>
        </w:rPr>
        <w:t>…)</w:t>
      </w:r>
      <w:r w:rsidR="00816064" w:rsidRPr="00A321D3">
        <w:rPr>
          <w:rFonts w:asciiTheme="majorHAnsi" w:hAnsiTheme="majorHAnsi"/>
          <w:sz w:val="20"/>
          <w:szCs w:val="20"/>
          <w:lang w:val="es-CO"/>
        </w:rPr>
        <w:t>.</w:t>
      </w:r>
    </w:p>
    <w:p w14:paraId="7407BF4D" w14:textId="77777777" w:rsidR="00DE59B5" w:rsidRPr="00A321D3" w:rsidRDefault="00DE59B5" w:rsidP="009751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CO"/>
        </w:rPr>
      </w:pPr>
    </w:p>
    <w:p w14:paraId="6842DFB0" w14:textId="77777777" w:rsidR="00DE59B5" w:rsidRDefault="00552AD9"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321D3">
        <w:rPr>
          <w:rFonts w:asciiTheme="majorHAnsi" w:hAnsiTheme="majorHAnsi"/>
          <w:sz w:val="20"/>
          <w:szCs w:val="20"/>
          <w:lang w:val="es-CO"/>
        </w:rPr>
        <w:t>La Ley Orgánica del Consejo Nacional de la Magistratura, Ley No</w:t>
      </w:r>
      <w:r w:rsidR="00DE59B5">
        <w:rPr>
          <w:rFonts w:asciiTheme="majorHAnsi" w:hAnsiTheme="majorHAnsi"/>
          <w:sz w:val="20"/>
          <w:szCs w:val="20"/>
          <w:lang w:val="es-CO"/>
        </w:rPr>
        <w:t>. 26397, establece lo siguiente</w:t>
      </w:r>
    </w:p>
    <w:p w14:paraId="688C405F" w14:textId="77777777" w:rsidR="00DE59B5" w:rsidRDefault="00DE59B5"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p>
    <w:p w14:paraId="678E69C1" w14:textId="77777777" w:rsidR="00DE59B5" w:rsidRDefault="00D522C4"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r w:rsidRPr="00DE59B5">
        <w:rPr>
          <w:rFonts w:asciiTheme="majorHAnsi" w:hAnsiTheme="majorHAnsi"/>
          <w:sz w:val="20"/>
          <w:szCs w:val="20"/>
          <w:lang w:val="es-CO"/>
        </w:rPr>
        <w:t>Artículo 21°.-Corresponde al Consejo Nacional de la Magistratura las atribuciones siguientes:</w:t>
      </w:r>
    </w:p>
    <w:p w14:paraId="5D7C0ADF" w14:textId="77777777" w:rsidR="00DE59B5" w:rsidRDefault="00DE59B5"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p>
    <w:p w14:paraId="7AB9ED37" w14:textId="77777777" w:rsidR="00DE59B5" w:rsidRDefault="00D522C4"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r w:rsidRPr="00A321D3">
        <w:rPr>
          <w:rFonts w:asciiTheme="majorHAnsi" w:hAnsiTheme="majorHAnsi"/>
          <w:sz w:val="20"/>
          <w:szCs w:val="20"/>
          <w:lang w:val="es-CO"/>
        </w:rPr>
        <w:t>c) Aplicar la sanción de destitución a los Vocales de la Corte Suprema o la Junta de Fiscales Supremos, respectivamente a los jueces y fiscales de todas las instancias. La resolución final, motivada y con previa audiencia d</w:t>
      </w:r>
      <w:r w:rsidR="00DE59B5">
        <w:rPr>
          <w:rFonts w:asciiTheme="majorHAnsi" w:hAnsiTheme="majorHAnsi"/>
          <w:sz w:val="20"/>
          <w:szCs w:val="20"/>
          <w:lang w:val="es-CO"/>
        </w:rPr>
        <w:t>el interesado, es inimpugnable.</w:t>
      </w:r>
    </w:p>
    <w:p w14:paraId="49CE5FE0" w14:textId="77777777" w:rsidR="00DE59B5" w:rsidRDefault="00DE59B5"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p>
    <w:p w14:paraId="0D40E8D3" w14:textId="22559B36" w:rsidR="00DE59B5" w:rsidRDefault="00D522C4"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r w:rsidRPr="00A321D3">
        <w:rPr>
          <w:rFonts w:asciiTheme="majorHAnsi" w:hAnsiTheme="majorHAnsi"/>
          <w:sz w:val="20"/>
          <w:szCs w:val="20"/>
          <w:lang w:val="es-CO"/>
        </w:rPr>
        <w:t>Artículo 31°.- Procede aplicar la sanción de destitución a que se refiere el inciso c) del Artículo 21 de la present</w:t>
      </w:r>
      <w:r w:rsidR="00DE59B5">
        <w:rPr>
          <w:rFonts w:asciiTheme="majorHAnsi" w:hAnsiTheme="majorHAnsi"/>
          <w:sz w:val="20"/>
          <w:szCs w:val="20"/>
          <w:lang w:val="es-CO"/>
        </w:rPr>
        <w:t>e ley por las siguientes causas</w:t>
      </w:r>
      <w:r w:rsidR="00B857F1">
        <w:rPr>
          <w:rFonts w:asciiTheme="majorHAnsi" w:hAnsiTheme="majorHAnsi"/>
          <w:sz w:val="20"/>
          <w:szCs w:val="20"/>
          <w:lang w:val="es-CO"/>
        </w:rPr>
        <w:t>:</w:t>
      </w:r>
    </w:p>
    <w:p w14:paraId="60B57856" w14:textId="77777777" w:rsidR="00B857F1" w:rsidRDefault="00B857F1"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p>
    <w:p w14:paraId="0E308EF8" w14:textId="589ED746" w:rsidR="00DE59B5" w:rsidRDefault="00D522C4"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r w:rsidRPr="00A321D3">
        <w:rPr>
          <w:rFonts w:asciiTheme="majorHAnsi" w:hAnsiTheme="majorHAnsi"/>
          <w:sz w:val="20"/>
          <w:szCs w:val="20"/>
          <w:lang w:val="es-CO"/>
        </w:rPr>
        <w:t>(…)</w:t>
      </w:r>
      <w:r w:rsidRPr="00A321D3">
        <w:rPr>
          <w:rFonts w:asciiTheme="majorHAnsi" w:hAnsiTheme="majorHAnsi"/>
          <w:sz w:val="20"/>
          <w:szCs w:val="20"/>
          <w:lang w:val="es-CO"/>
        </w:rPr>
        <w:tab/>
        <w:t>2. La comisión de un hecho grave que sin ser delito compromete la dignidad del cargo y la desmerezca en e</w:t>
      </w:r>
      <w:r w:rsidR="00DE59B5">
        <w:rPr>
          <w:rFonts w:asciiTheme="majorHAnsi" w:hAnsiTheme="majorHAnsi"/>
          <w:sz w:val="20"/>
          <w:szCs w:val="20"/>
          <w:lang w:val="es-CO"/>
        </w:rPr>
        <w:t>l concepto público</w:t>
      </w:r>
      <w:r w:rsidR="00B857F1">
        <w:rPr>
          <w:rFonts w:asciiTheme="majorHAnsi" w:hAnsiTheme="majorHAnsi"/>
          <w:sz w:val="20"/>
          <w:szCs w:val="20"/>
          <w:lang w:val="es-CO"/>
        </w:rPr>
        <w:t>.</w:t>
      </w:r>
    </w:p>
    <w:p w14:paraId="77E968ED" w14:textId="77777777" w:rsidR="00DE59B5" w:rsidRDefault="00DE59B5"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p>
    <w:p w14:paraId="506B4C13" w14:textId="77777777" w:rsidR="00DE59B5" w:rsidRDefault="00D522C4"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r w:rsidRPr="00A321D3">
        <w:rPr>
          <w:rFonts w:asciiTheme="majorHAnsi" w:hAnsiTheme="majorHAnsi"/>
          <w:sz w:val="20"/>
          <w:szCs w:val="20"/>
          <w:lang w:val="es-CO"/>
        </w:rPr>
        <w:t>Artículo 34°.-En los procesos disciplinarios a que se refieren los Artículos 32° y 33° de la presente le</w:t>
      </w:r>
      <w:r w:rsidR="00DE59B5">
        <w:rPr>
          <w:rFonts w:asciiTheme="majorHAnsi" w:hAnsiTheme="majorHAnsi"/>
          <w:sz w:val="20"/>
          <w:szCs w:val="20"/>
          <w:lang w:val="es-CO"/>
        </w:rPr>
        <w:t>y, rigen las siguientes normas:</w:t>
      </w:r>
    </w:p>
    <w:p w14:paraId="3F525808" w14:textId="77777777" w:rsidR="00DE59B5" w:rsidRDefault="00DE59B5"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p>
    <w:p w14:paraId="550810A8" w14:textId="77777777" w:rsidR="00552AD9" w:rsidRPr="00A321D3" w:rsidRDefault="008C7D65"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r w:rsidRPr="00A321D3">
        <w:rPr>
          <w:rFonts w:asciiTheme="majorHAnsi" w:hAnsiTheme="majorHAnsi"/>
          <w:sz w:val="20"/>
          <w:szCs w:val="20"/>
          <w:lang w:val="es-CO"/>
        </w:rPr>
        <w:t xml:space="preserve">(…) </w:t>
      </w:r>
      <w:r w:rsidR="00D522C4" w:rsidRPr="00A321D3">
        <w:rPr>
          <w:rFonts w:asciiTheme="majorHAnsi" w:hAnsiTheme="majorHAnsi"/>
          <w:sz w:val="20"/>
          <w:szCs w:val="20"/>
          <w:lang w:val="es-CO"/>
        </w:rPr>
        <w:t>4. Contra la resolución que pone fin al procedimiento sólo cabe recurso de reconsideración, siempre que se acompañe de nueva prueba instrumental dentro de un plazo de 5 días útiles contados a partir del día siguiente de recibida la notificación</w:t>
      </w:r>
      <w:r w:rsidR="00D522C4" w:rsidRPr="00A321D3">
        <w:rPr>
          <w:rStyle w:val="FootnoteReference"/>
          <w:rFonts w:asciiTheme="majorHAnsi" w:hAnsiTheme="majorHAnsi"/>
          <w:sz w:val="20"/>
          <w:szCs w:val="20"/>
          <w:lang w:val="es-CO"/>
        </w:rPr>
        <w:footnoteReference w:id="4"/>
      </w:r>
      <w:r w:rsidR="00D522C4" w:rsidRPr="00A321D3">
        <w:rPr>
          <w:rFonts w:asciiTheme="majorHAnsi" w:hAnsiTheme="majorHAnsi"/>
          <w:sz w:val="20"/>
          <w:szCs w:val="20"/>
          <w:lang w:val="es-CO"/>
        </w:rPr>
        <w:t>.</w:t>
      </w:r>
    </w:p>
    <w:p w14:paraId="3173F07F" w14:textId="77777777" w:rsidR="00DE59B5" w:rsidRDefault="00DE59B5"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47DE0E74" w14:textId="67D56371" w:rsidR="00DE59B5" w:rsidRDefault="006E20C9"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Pr>
          <w:rFonts w:asciiTheme="majorHAnsi" w:hAnsiTheme="majorHAnsi"/>
          <w:sz w:val="20"/>
          <w:szCs w:val="20"/>
          <w:lang w:val="es-CO"/>
        </w:rPr>
        <w:t>Finalmente, la Ley 26933 de 12 de marzo de 1998</w:t>
      </w:r>
      <w:r w:rsidR="004D4E2E">
        <w:rPr>
          <w:rFonts w:asciiTheme="majorHAnsi" w:hAnsiTheme="majorHAnsi"/>
          <w:sz w:val="20"/>
          <w:szCs w:val="20"/>
          <w:lang w:val="es-CO"/>
        </w:rPr>
        <w:t xml:space="preserve"> que derogó </w:t>
      </w:r>
      <w:r w:rsidR="00F94353">
        <w:rPr>
          <w:rFonts w:asciiTheme="majorHAnsi" w:hAnsiTheme="majorHAnsi"/>
          <w:sz w:val="20"/>
          <w:szCs w:val="20"/>
          <w:lang w:val="es-CO"/>
        </w:rPr>
        <w:t>el</w:t>
      </w:r>
      <w:r w:rsidR="004D4E2E">
        <w:rPr>
          <w:rFonts w:asciiTheme="majorHAnsi" w:hAnsiTheme="majorHAnsi"/>
          <w:sz w:val="20"/>
          <w:szCs w:val="20"/>
          <w:lang w:val="es-CO"/>
        </w:rPr>
        <w:t xml:space="preserve"> artículo</w:t>
      </w:r>
      <w:r w:rsidR="00F94353">
        <w:rPr>
          <w:rFonts w:asciiTheme="majorHAnsi" w:hAnsiTheme="majorHAnsi"/>
          <w:sz w:val="20"/>
          <w:szCs w:val="20"/>
          <w:lang w:val="es-CO"/>
        </w:rPr>
        <w:t xml:space="preserve"> 31 de la Ley citada en el párrafo anterior,</w:t>
      </w:r>
      <w:r w:rsidR="00F86C33">
        <w:rPr>
          <w:rFonts w:asciiTheme="majorHAnsi" w:hAnsiTheme="majorHAnsi"/>
          <w:sz w:val="20"/>
          <w:szCs w:val="20"/>
          <w:lang w:val="es-CO"/>
        </w:rPr>
        <w:t xml:space="preserve"> </w:t>
      </w:r>
      <w:r w:rsidR="00DE59B5">
        <w:rPr>
          <w:rFonts w:asciiTheme="majorHAnsi" w:hAnsiTheme="majorHAnsi"/>
          <w:sz w:val="20"/>
          <w:szCs w:val="20"/>
          <w:lang w:val="es-CO"/>
        </w:rPr>
        <w:t>establece que</w:t>
      </w:r>
      <w:r w:rsidR="00EA1F8F">
        <w:rPr>
          <w:rFonts w:asciiTheme="majorHAnsi" w:hAnsiTheme="majorHAnsi"/>
          <w:sz w:val="20"/>
          <w:szCs w:val="20"/>
          <w:lang w:val="es-CO"/>
        </w:rPr>
        <w:t>:</w:t>
      </w:r>
    </w:p>
    <w:p w14:paraId="71C68143" w14:textId="77777777" w:rsidR="00EC6787" w:rsidRDefault="00EC6787"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p>
    <w:p w14:paraId="2CDD5B92" w14:textId="386AB732" w:rsidR="006E20C9" w:rsidRPr="00DE59B5" w:rsidRDefault="00B857F1"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r>
        <w:rPr>
          <w:rFonts w:asciiTheme="majorHAnsi" w:hAnsiTheme="majorHAnsi"/>
          <w:sz w:val="20"/>
          <w:szCs w:val="20"/>
          <w:lang w:val="es-CO"/>
        </w:rPr>
        <w:t xml:space="preserve">Los Magistrados del </w:t>
      </w:r>
      <w:r w:rsidR="006E20C9" w:rsidRPr="00DE59B5">
        <w:rPr>
          <w:rFonts w:asciiTheme="majorHAnsi" w:hAnsiTheme="majorHAnsi"/>
          <w:sz w:val="20"/>
          <w:szCs w:val="20"/>
          <w:lang w:val="es-CO"/>
        </w:rPr>
        <w:t>Poder Judicial y los Fiscales del Ministerio Público incurren en causal de destitución cuando cometen un hecho grave que sin ser delito compromete la dignidad del cargo y lo desmerezca en el concepto público, siempre que hubieran sido sancionados con suspensión anteriormente (…</w:t>
      </w:r>
      <w:r w:rsidR="00DD7684" w:rsidRPr="00DE59B5">
        <w:rPr>
          <w:rFonts w:asciiTheme="majorHAnsi" w:hAnsiTheme="majorHAnsi"/>
          <w:sz w:val="20"/>
          <w:szCs w:val="20"/>
          <w:lang w:val="es-CO"/>
        </w:rPr>
        <w:t>).</w:t>
      </w:r>
    </w:p>
    <w:p w14:paraId="430ECB4D" w14:textId="77777777" w:rsidR="007F1A6E" w:rsidRPr="00A321D3" w:rsidRDefault="007F1A6E" w:rsidP="00975184">
      <w:pPr>
        <w:tabs>
          <w:tab w:val="left" w:pos="1440"/>
        </w:tabs>
        <w:jc w:val="both"/>
        <w:rPr>
          <w:rFonts w:asciiTheme="majorHAnsi" w:eastAsia="Times New Roman" w:hAnsiTheme="majorHAnsi"/>
          <w:sz w:val="20"/>
          <w:szCs w:val="20"/>
          <w:lang w:val="es-CO"/>
        </w:rPr>
      </w:pPr>
    </w:p>
    <w:p w14:paraId="299A2BF4" w14:textId="77777777" w:rsidR="00C52A55" w:rsidRPr="00A321D3" w:rsidRDefault="00C52A55" w:rsidP="00975184">
      <w:pPr>
        <w:pStyle w:val="Heading2"/>
        <w:numPr>
          <w:ilvl w:val="0"/>
          <w:numId w:val="61"/>
        </w:numPr>
        <w:ind w:left="1440" w:hanging="720"/>
        <w:rPr>
          <w:rFonts w:cs="Arial"/>
          <w:bCs/>
          <w:iCs/>
          <w:lang w:val="es-VE"/>
        </w:rPr>
      </w:pPr>
      <w:bookmarkStart w:id="25" w:name="_Toc514247638"/>
      <w:r w:rsidRPr="00A321D3">
        <w:rPr>
          <w:rFonts w:cs="Arial"/>
          <w:bCs/>
          <w:iCs/>
          <w:lang w:val="es-VE"/>
        </w:rPr>
        <w:t xml:space="preserve">Sobre el nombramiento de Héctor Fidel Cordero Bernal </w:t>
      </w:r>
      <w:r w:rsidR="00351625" w:rsidRPr="00A321D3">
        <w:rPr>
          <w:rFonts w:cs="Arial"/>
          <w:bCs/>
          <w:iCs/>
          <w:lang w:val="es-VE"/>
        </w:rPr>
        <w:t>y la decisión de libertad incondicional</w:t>
      </w:r>
      <w:bookmarkEnd w:id="25"/>
    </w:p>
    <w:p w14:paraId="1A950776" w14:textId="77777777" w:rsidR="00DE59B5" w:rsidRPr="00DE59B5" w:rsidRDefault="00DE59B5" w:rsidP="009751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VE"/>
        </w:rPr>
      </w:pPr>
    </w:p>
    <w:p w14:paraId="624BE8D8" w14:textId="011E48F6" w:rsidR="00DE59B5" w:rsidRPr="00DE59B5" w:rsidRDefault="00CA310F"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A321D3">
        <w:rPr>
          <w:rFonts w:asciiTheme="majorHAnsi" w:eastAsia="Calibri" w:hAnsiTheme="majorHAnsi"/>
          <w:sz w:val="20"/>
          <w:szCs w:val="20"/>
          <w:bdr w:val="none" w:sz="0" w:space="0" w:color="auto"/>
          <w:lang w:val="es-CO"/>
        </w:rPr>
        <w:t>La parte peticionaria</w:t>
      </w:r>
      <w:r w:rsidR="00C52A55" w:rsidRPr="00A321D3">
        <w:rPr>
          <w:rFonts w:asciiTheme="majorHAnsi" w:eastAsia="Calibri" w:hAnsiTheme="majorHAnsi"/>
          <w:sz w:val="20"/>
          <w:szCs w:val="20"/>
          <w:bdr w:val="none" w:sz="0" w:space="0" w:color="auto"/>
          <w:lang w:val="es-CO"/>
        </w:rPr>
        <w:t xml:space="preserve"> señaló que el 9 de noviembre de 1993 ingresó a la Judicatura por disposición de la Corte Superior de Justicia de Huánuco-Pasco como Juez en lo Civil asignado a la ciudad de Tingo María</w:t>
      </w:r>
      <w:r w:rsidR="00C52A55" w:rsidRPr="00A321D3">
        <w:rPr>
          <w:rFonts w:asciiTheme="majorHAnsi" w:eastAsia="Calibri" w:hAnsiTheme="majorHAnsi"/>
          <w:sz w:val="20"/>
          <w:szCs w:val="20"/>
          <w:bdr w:val="none" w:sz="0" w:space="0" w:color="auto"/>
          <w:vertAlign w:val="superscript"/>
          <w:lang w:val="es-CO"/>
        </w:rPr>
        <w:footnoteReference w:id="5"/>
      </w:r>
      <w:r w:rsidR="00C52A55" w:rsidRPr="00A321D3">
        <w:rPr>
          <w:rFonts w:asciiTheme="majorHAnsi" w:eastAsia="Calibri" w:hAnsiTheme="majorHAnsi"/>
          <w:sz w:val="20"/>
          <w:szCs w:val="20"/>
          <w:bdr w:val="none" w:sz="0" w:space="0" w:color="auto"/>
          <w:lang w:val="es-CO"/>
        </w:rPr>
        <w:t>. Según consta en el expediente, el 15 de noviembre de 1994 fue designado como Juez Provisional del Cuarto Juzgado P</w:t>
      </w:r>
      <w:r w:rsidR="00DE545F" w:rsidRPr="00A321D3">
        <w:rPr>
          <w:rFonts w:asciiTheme="majorHAnsi" w:eastAsia="Calibri" w:hAnsiTheme="majorHAnsi"/>
          <w:sz w:val="20"/>
          <w:szCs w:val="20"/>
          <w:bdr w:val="none" w:sz="0" w:space="0" w:color="auto"/>
          <w:lang w:val="es-CO"/>
        </w:rPr>
        <w:t>enal de la Provincia de Huánuco</w:t>
      </w:r>
      <w:r w:rsidR="006A4DD4" w:rsidRPr="00A321D3">
        <w:rPr>
          <w:rFonts w:asciiTheme="majorHAnsi" w:eastAsia="Calibri" w:hAnsiTheme="majorHAnsi"/>
          <w:sz w:val="20"/>
          <w:szCs w:val="20"/>
          <w:bdr w:val="none" w:sz="0" w:space="0" w:color="auto"/>
          <w:lang w:val="es-CO"/>
        </w:rPr>
        <w:t xml:space="preserve"> por el Presidente de la  C</w:t>
      </w:r>
      <w:r w:rsidR="00235C94">
        <w:rPr>
          <w:rFonts w:asciiTheme="majorHAnsi" w:eastAsia="Calibri" w:hAnsiTheme="majorHAnsi"/>
          <w:sz w:val="20"/>
          <w:szCs w:val="20"/>
          <w:bdr w:val="none" w:sz="0" w:space="0" w:color="auto"/>
          <w:lang w:val="es-CO"/>
        </w:rPr>
        <w:t>orte Superior de Justicia de Huá</w:t>
      </w:r>
      <w:r w:rsidR="006A4DD4" w:rsidRPr="00A321D3">
        <w:rPr>
          <w:rFonts w:asciiTheme="majorHAnsi" w:eastAsia="Calibri" w:hAnsiTheme="majorHAnsi"/>
          <w:sz w:val="20"/>
          <w:szCs w:val="20"/>
          <w:bdr w:val="none" w:sz="0" w:space="0" w:color="auto"/>
          <w:lang w:val="es-CO"/>
        </w:rPr>
        <w:t>nuco</w:t>
      </w:r>
      <w:r w:rsidR="00C52A55" w:rsidRPr="00A321D3">
        <w:rPr>
          <w:rFonts w:asciiTheme="majorHAnsi" w:eastAsia="Calibri" w:hAnsiTheme="majorHAnsi"/>
          <w:sz w:val="20"/>
          <w:szCs w:val="20"/>
          <w:bdr w:val="none" w:sz="0" w:space="0" w:color="auto"/>
          <w:vertAlign w:val="superscript"/>
          <w:lang w:val="es-CO"/>
        </w:rPr>
        <w:footnoteReference w:id="6"/>
      </w:r>
      <w:r w:rsidR="00C52A55" w:rsidRPr="00A321D3">
        <w:rPr>
          <w:rFonts w:asciiTheme="majorHAnsi" w:eastAsia="Calibri" w:hAnsiTheme="majorHAnsi"/>
          <w:sz w:val="20"/>
          <w:szCs w:val="20"/>
          <w:bdr w:val="none" w:sz="0" w:space="0" w:color="auto"/>
          <w:lang w:val="es-CO"/>
        </w:rPr>
        <w:t>.</w:t>
      </w:r>
    </w:p>
    <w:p w14:paraId="1530A267" w14:textId="77777777" w:rsidR="00DE59B5" w:rsidRPr="00DE59B5" w:rsidRDefault="00DE59B5"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VE"/>
        </w:rPr>
      </w:pPr>
    </w:p>
    <w:p w14:paraId="05D30D88" w14:textId="77777777" w:rsidR="00DE59B5" w:rsidRPr="00DE59B5" w:rsidRDefault="00A36289"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DE59B5">
        <w:rPr>
          <w:rFonts w:asciiTheme="majorHAnsi" w:hAnsiTheme="majorHAnsi"/>
          <w:sz w:val="20"/>
          <w:szCs w:val="20"/>
          <w:lang w:val="es-CO"/>
        </w:rPr>
        <w:t>El 22 de junio de 1995 el Presidente de la Corte Superior de Justicia de Huanuco</w:t>
      </w:r>
      <w:r w:rsidR="0035694C" w:rsidRPr="00DE59B5">
        <w:rPr>
          <w:rFonts w:asciiTheme="majorHAnsi" w:hAnsiTheme="majorHAnsi"/>
          <w:sz w:val="20"/>
          <w:szCs w:val="20"/>
          <w:lang w:val="es-CO"/>
        </w:rPr>
        <w:t xml:space="preserve"> solicitó a la presunta víc</w:t>
      </w:r>
      <w:r w:rsidR="00CA310F" w:rsidRPr="00DE59B5">
        <w:rPr>
          <w:rFonts w:asciiTheme="majorHAnsi" w:hAnsiTheme="majorHAnsi"/>
          <w:sz w:val="20"/>
          <w:szCs w:val="20"/>
          <w:lang w:val="es-CO"/>
        </w:rPr>
        <w:t xml:space="preserve">tima que “se sirva ENCARGAR de </w:t>
      </w:r>
      <w:r w:rsidR="0035694C" w:rsidRPr="00DE59B5">
        <w:rPr>
          <w:rFonts w:asciiTheme="majorHAnsi" w:hAnsiTheme="majorHAnsi"/>
          <w:sz w:val="20"/>
          <w:szCs w:val="20"/>
          <w:lang w:val="es-CO"/>
        </w:rPr>
        <w:t>la atención del Primer Juzgado Penal de esta ciudad, a partir de la fecha y mientras dure la licencia del Juez Provisional doctor Jacinto Oriol San Martín Arcayo, con retención de su cargo, dando cuenta”</w:t>
      </w:r>
      <w:r w:rsidRPr="00A321D3">
        <w:rPr>
          <w:rStyle w:val="FootnoteReference"/>
          <w:rFonts w:asciiTheme="majorHAnsi" w:hAnsiTheme="majorHAnsi"/>
          <w:sz w:val="20"/>
          <w:szCs w:val="20"/>
          <w:lang w:val="es-CO"/>
        </w:rPr>
        <w:footnoteReference w:id="7"/>
      </w:r>
      <w:r w:rsidR="00DE59B5">
        <w:rPr>
          <w:rFonts w:asciiTheme="majorHAnsi" w:hAnsiTheme="majorHAnsi"/>
          <w:sz w:val="20"/>
          <w:szCs w:val="20"/>
          <w:lang w:val="es-CO"/>
        </w:rPr>
        <w:t>.</w:t>
      </w:r>
    </w:p>
    <w:p w14:paraId="0CBAD228" w14:textId="77777777" w:rsidR="00DE59B5" w:rsidRDefault="00DE59B5" w:rsidP="00975184">
      <w:pPr>
        <w:pStyle w:val="ListParagraph"/>
        <w:rPr>
          <w:rFonts w:asciiTheme="majorHAnsi" w:hAnsiTheme="majorHAnsi"/>
          <w:sz w:val="20"/>
          <w:szCs w:val="20"/>
          <w:lang w:val="es-CO"/>
        </w:rPr>
      </w:pPr>
    </w:p>
    <w:p w14:paraId="761D0166" w14:textId="258F0C74" w:rsidR="00DE59B5" w:rsidRPr="00DE59B5" w:rsidRDefault="00351625"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DE59B5">
        <w:rPr>
          <w:rFonts w:asciiTheme="majorHAnsi" w:hAnsiTheme="majorHAnsi"/>
          <w:sz w:val="20"/>
          <w:szCs w:val="20"/>
          <w:lang w:val="es-CO"/>
        </w:rPr>
        <w:t xml:space="preserve">En la misma fecha la presunta víctima comenzó a conocer de la instrucción penal número 7395, la cual se relacionaba con una investigación a dos ciudadanos colombianos que piloteaban una </w:t>
      </w:r>
      <w:r w:rsidR="00CA310F" w:rsidRPr="00DE59B5">
        <w:rPr>
          <w:rFonts w:asciiTheme="majorHAnsi" w:hAnsiTheme="majorHAnsi"/>
          <w:sz w:val="20"/>
          <w:szCs w:val="20"/>
          <w:lang w:val="es-CO"/>
        </w:rPr>
        <w:t>avioneta en territorio peruano</w:t>
      </w:r>
      <w:r w:rsidR="007337FC" w:rsidRPr="00DE59B5">
        <w:rPr>
          <w:rFonts w:asciiTheme="majorHAnsi" w:hAnsiTheme="majorHAnsi"/>
          <w:sz w:val="20"/>
          <w:szCs w:val="20"/>
          <w:lang w:val="es-CO"/>
        </w:rPr>
        <w:t>,</w:t>
      </w:r>
      <w:r w:rsidRPr="00DE59B5">
        <w:rPr>
          <w:rFonts w:asciiTheme="majorHAnsi" w:hAnsiTheme="majorHAnsi"/>
          <w:sz w:val="20"/>
          <w:szCs w:val="20"/>
          <w:lang w:val="es-CO"/>
        </w:rPr>
        <w:t xml:space="preserve"> fueron interceptados por la Fuerza Aérea Peruana</w:t>
      </w:r>
      <w:r w:rsidRPr="00A321D3">
        <w:rPr>
          <w:rStyle w:val="FootnoteReference"/>
          <w:rFonts w:asciiTheme="majorHAnsi" w:hAnsiTheme="majorHAnsi"/>
          <w:sz w:val="20"/>
          <w:szCs w:val="20"/>
          <w:lang w:val="es-CO"/>
        </w:rPr>
        <w:footnoteReference w:id="8"/>
      </w:r>
      <w:r w:rsidRPr="00DE59B5">
        <w:rPr>
          <w:rFonts w:asciiTheme="majorHAnsi" w:hAnsiTheme="majorHAnsi"/>
          <w:sz w:val="20"/>
          <w:szCs w:val="20"/>
          <w:lang w:val="es-CO"/>
        </w:rPr>
        <w:t xml:space="preserve"> y sometidos a proceso penal por el delito de tráfico ilícito de drogas ya que se habría encontrado una bolsa con narcóticos cerca del lugar de aterrizaje de la avioneta</w:t>
      </w:r>
      <w:r w:rsidR="00365A69" w:rsidRPr="00A321D3">
        <w:rPr>
          <w:rStyle w:val="FootnoteReference"/>
          <w:rFonts w:asciiTheme="majorHAnsi" w:hAnsiTheme="majorHAnsi"/>
          <w:sz w:val="20"/>
          <w:szCs w:val="20"/>
          <w:lang w:val="es-CO"/>
        </w:rPr>
        <w:footnoteReference w:id="9"/>
      </w:r>
      <w:r w:rsidR="00594569">
        <w:rPr>
          <w:rFonts w:asciiTheme="majorHAnsi" w:hAnsiTheme="majorHAnsi"/>
          <w:sz w:val="20"/>
          <w:szCs w:val="20"/>
          <w:lang w:val="es-CO"/>
        </w:rPr>
        <w:t>.</w:t>
      </w:r>
    </w:p>
    <w:p w14:paraId="51CBA116" w14:textId="77777777" w:rsidR="00DE59B5" w:rsidRDefault="00DE59B5" w:rsidP="00975184">
      <w:pPr>
        <w:pStyle w:val="ListParagraph"/>
        <w:rPr>
          <w:rFonts w:asciiTheme="majorHAnsi" w:hAnsiTheme="majorHAnsi"/>
          <w:sz w:val="20"/>
          <w:szCs w:val="20"/>
          <w:lang w:val="es-CO"/>
        </w:rPr>
      </w:pPr>
    </w:p>
    <w:p w14:paraId="0BEFACBA" w14:textId="77777777" w:rsidR="00DE59B5" w:rsidRPr="00DE59B5" w:rsidRDefault="00090DF6"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DE59B5">
        <w:rPr>
          <w:rFonts w:asciiTheme="majorHAnsi" w:hAnsiTheme="majorHAnsi"/>
          <w:sz w:val="20"/>
          <w:szCs w:val="20"/>
          <w:lang w:val="es-CO"/>
        </w:rPr>
        <w:t>El 30 de junio de 1995 los procesados solicitaron su libertad incondicional</w:t>
      </w:r>
      <w:r w:rsidRPr="00A321D3">
        <w:rPr>
          <w:rStyle w:val="FootnoteReference"/>
          <w:rFonts w:asciiTheme="majorHAnsi" w:hAnsiTheme="majorHAnsi"/>
          <w:sz w:val="20"/>
          <w:szCs w:val="20"/>
          <w:lang w:val="es-CO"/>
        </w:rPr>
        <w:footnoteReference w:id="10"/>
      </w:r>
      <w:r w:rsidRPr="00DE59B5">
        <w:rPr>
          <w:rFonts w:asciiTheme="majorHAnsi" w:hAnsiTheme="majorHAnsi"/>
          <w:sz w:val="20"/>
          <w:szCs w:val="20"/>
          <w:lang w:val="es-CO"/>
        </w:rPr>
        <w:t xml:space="preserve">. </w:t>
      </w:r>
    </w:p>
    <w:p w14:paraId="04C205FC" w14:textId="77777777" w:rsidR="00DE59B5" w:rsidRDefault="00DE59B5" w:rsidP="00975184">
      <w:pPr>
        <w:pStyle w:val="ListParagraph"/>
        <w:rPr>
          <w:rFonts w:asciiTheme="majorHAnsi" w:hAnsiTheme="majorHAnsi"/>
          <w:sz w:val="20"/>
          <w:szCs w:val="20"/>
          <w:lang w:val="es-CO"/>
        </w:rPr>
      </w:pPr>
    </w:p>
    <w:p w14:paraId="226C40AF" w14:textId="7BDD7206" w:rsidR="00DE59B5" w:rsidRPr="00DE59B5" w:rsidRDefault="00365A69"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DE59B5">
        <w:rPr>
          <w:rFonts w:asciiTheme="majorHAnsi" w:hAnsiTheme="majorHAnsi"/>
          <w:sz w:val="20"/>
          <w:szCs w:val="20"/>
          <w:lang w:val="es-CO"/>
        </w:rPr>
        <w:t xml:space="preserve">El 11 de julio de 1995 el señor Cordero Bernal emitió una resolución en la que declaró fundada la solicitud de libertad incondicional de los procesados por el delito de tráfico ilícito de drogas, atendiendo a lo dispuesto en el artículo 201 del Código de Procedimiento Penal peruano. En dicha resolución, el señor Cordero Bernal </w:t>
      </w:r>
      <w:r w:rsidR="00E13E50">
        <w:rPr>
          <w:rFonts w:asciiTheme="majorHAnsi" w:hAnsiTheme="majorHAnsi"/>
          <w:sz w:val="20"/>
          <w:szCs w:val="20"/>
          <w:lang w:val="es-CO"/>
        </w:rPr>
        <w:t>señaló</w:t>
      </w:r>
      <w:r w:rsidRPr="00DE59B5">
        <w:rPr>
          <w:rFonts w:asciiTheme="majorHAnsi" w:hAnsiTheme="majorHAnsi"/>
          <w:sz w:val="20"/>
          <w:szCs w:val="20"/>
          <w:lang w:val="es-CO"/>
        </w:rPr>
        <w:t xml:space="preserve"> que</w:t>
      </w:r>
      <w:r w:rsidR="00DE59B5">
        <w:rPr>
          <w:rFonts w:asciiTheme="majorHAnsi" w:hAnsiTheme="majorHAnsi"/>
          <w:sz w:val="20"/>
          <w:szCs w:val="20"/>
          <w:lang w:val="es-CO"/>
        </w:rPr>
        <w:t>:</w:t>
      </w:r>
    </w:p>
    <w:p w14:paraId="2DFA2C87" w14:textId="77777777" w:rsidR="00DE59B5" w:rsidRDefault="00DE59B5" w:rsidP="00975184">
      <w:pPr>
        <w:pStyle w:val="ListParagraph"/>
        <w:ind w:right="810"/>
        <w:rPr>
          <w:rFonts w:asciiTheme="majorHAnsi" w:hAnsiTheme="majorHAnsi"/>
          <w:sz w:val="20"/>
          <w:szCs w:val="20"/>
          <w:lang w:val="es-CO"/>
        </w:rPr>
      </w:pPr>
    </w:p>
    <w:p w14:paraId="718AFE4C" w14:textId="31E9D4EA" w:rsidR="00A93F39" w:rsidRPr="00DE59B5" w:rsidRDefault="00365A69"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810" w:firstLine="0"/>
        <w:jc w:val="both"/>
        <w:rPr>
          <w:rFonts w:asciiTheme="majorHAnsi" w:hAnsiTheme="majorHAnsi"/>
          <w:sz w:val="20"/>
          <w:szCs w:val="20"/>
          <w:lang w:val="es-VE"/>
        </w:rPr>
      </w:pPr>
      <w:r w:rsidRPr="00DE59B5">
        <w:rPr>
          <w:rFonts w:asciiTheme="majorHAnsi" w:hAnsiTheme="majorHAnsi"/>
          <w:sz w:val="20"/>
          <w:szCs w:val="20"/>
          <w:lang w:val="es-CO"/>
        </w:rPr>
        <w:t>durante el período instructivo no se ha aportado prueba alguna que acredite fehacientemente su participación delictiva (…) no existe prueba indubitable que amerite la responsabilidad penal en el delito de tráfico ilícito de drogas de los instruidos para este proceso (…) no se encontró en poder de los solicitantes o en la avioneta que trip</w:t>
      </w:r>
      <w:r w:rsidR="00E92B37" w:rsidRPr="00DE59B5">
        <w:rPr>
          <w:rFonts w:asciiTheme="majorHAnsi" w:hAnsiTheme="majorHAnsi"/>
          <w:sz w:val="20"/>
          <w:szCs w:val="20"/>
          <w:lang w:val="es-CO"/>
        </w:rPr>
        <w:t>ulaban cantidad de droga alguna</w:t>
      </w:r>
      <w:r w:rsidRPr="00A321D3">
        <w:rPr>
          <w:rStyle w:val="FootnoteReference"/>
          <w:rFonts w:asciiTheme="majorHAnsi" w:hAnsiTheme="majorHAnsi"/>
          <w:sz w:val="20"/>
          <w:szCs w:val="20"/>
          <w:lang w:val="es-CO"/>
        </w:rPr>
        <w:footnoteReference w:id="11"/>
      </w:r>
      <w:r w:rsidRPr="00DE59B5">
        <w:rPr>
          <w:rFonts w:asciiTheme="majorHAnsi" w:hAnsiTheme="majorHAnsi"/>
          <w:sz w:val="20"/>
          <w:szCs w:val="20"/>
          <w:lang w:val="es-CO"/>
        </w:rPr>
        <w:t>.</w:t>
      </w:r>
    </w:p>
    <w:p w14:paraId="7C4A9FD8" w14:textId="7299DEF6" w:rsidR="00DE59B5" w:rsidRDefault="00DE59B5"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317"/>
        </w:tabs>
        <w:ind w:left="720" w:firstLine="0"/>
        <w:jc w:val="both"/>
        <w:rPr>
          <w:rFonts w:asciiTheme="majorHAnsi" w:hAnsiTheme="majorHAnsi"/>
          <w:sz w:val="20"/>
          <w:szCs w:val="20"/>
          <w:lang w:val="es-CO"/>
        </w:rPr>
      </w:pPr>
    </w:p>
    <w:p w14:paraId="4C954FED" w14:textId="77777777" w:rsidR="00117EC1" w:rsidRDefault="00A93F39"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321D3">
        <w:rPr>
          <w:rFonts w:asciiTheme="majorHAnsi" w:hAnsiTheme="majorHAnsi"/>
          <w:sz w:val="20"/>
          <w:szCs w:val="20"/>
          <w:lang w:val="es-CO"/>
        </w:rPr>
        <w:t xml:space="preserve">La Comisión recuerda que el artículo 201 del Código de Procedimiento Penal peruano establecía que: </w:t>
      </w:r>
    </w:p>
    <w:p w14:paraId="7797536D" w14:textId="77777777" w:rsidR="00117EC1" w:rsidRDefault="00117EC1"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0343EE7E" w14:textId="4CF9AE5D" w:rsidR="00594569" w:rsidRDefault="00117EC1"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hAnsiTheme="majorHAnsi"/>
          <w:sz w:val="20"/>
          <w:szCs w:val="20"/>
          <w:lang w:val="es-CO"/>
        </w:rPr>
      </w:pPr>
      <w:r>
        <w:rPr>
          <w:rFonts w:asciiTheme="majorHAnsi" w:hAnsiTheme="majorHAnsi"/>
          <w:sz w:val="20"/>
          <w:szCs w:val="20"/>
          <w:lang w:val="es-CO"/>
        </w:rPr>
        <w:t>S</w:t>
      </w:r>
      <w:r w:rsidR="00A93F39" w:rsidRPr="00594569">
        <w:rPr>
          <w:rFonts w:asciiTheme="majorHAnsi" w:hAnsiTheme="majorHAnsi"/>
          <w:sz w:val="20"/>
          <w:szCs w:val="20"/>
          <w:lang w:val="es-CO"/>
        </w:rPr>
        <w:t>i en cualquier estado de la instrucción se demuestra plenamente la inculpabilidad del encausado, el Juez de oficio o a pedido del inculpado deberá ordenar su libertad incondicional y el auto que lo disponga se ejecutará inmediatamente, debiendo elevar al Tribunal Correccional el cuaderno respectivo cuando hayan otros procesados que deben continuar detenidos. Si la causa se sigue sólo contra el que es objeto de libertad, se elevará el expediente principal. En este caso, si el Tribunal aprueba, el consultado ordenar</w:t>
      </w:r>
      <w:r w:rsidR="004955CD" w:rsidRPr="00B7367B">
        <w:rPr>
          <w:rFonts w:asciiTheme="majorHAnsi" w:hAnsiTheme="majorHAnsi"/>
          <w:sz w:val="20"/>
          <w:szCs w:val="20"/>
          <w:lang w:val="es-CO"/>
        </w:rPr>
        <w:t xml:space="preserve">á el archivamiento del proceso. </w:t>
      </w:r>
      <w:r w:rsidR="00A93F39" w:rsidRPr="00B7367B">
        <w:rPr>
          <w:rFonts w:asciiTheme="majorHAnsi" w:hAnsiTheme="majorHAnsi"/>
          <w:sz w:val="20"/>
          <w:szCs w:val="20"/>
          <w:lang w:val="es-CO"/>
        </w:rPr>
        <w:t>Si desaprueba el auto dispondrá la recaptura del indebidamente liberado, pudiendo imponer las sanciones o disponer las acciones que correspondan si la libertad ha sido maliciosa</w:t>
      </w:r>
      <w:r w:rsidR="00E87899" w:rsidRPr="00A321D3">
        <w:rPr>
          <w:rStyle w:val="FootnoteReference"/>
          <w:rFonts w:asciiTheme="majorHAnsi" w:hAnsiTheme="majorHAnsi"/>
          <w:sz w:val="20"/>
          <w:szCs w:val="20"/>
          <w:lang w:val="es-CO"/>
        </w:rPr>
        <w:footnoteReference w:id="12"/>
      </w:r>
      <w:r w:rsidR="00A93F39" w:rsidRPr="00594569">
        <w:rPr>
          <w:rFonts w:asciiTheme="majorHAnsi" w:hAnsiTheme="majorHAnsi"/>
          <w:sz w:val="20"/>
          <w:szCs w:val="20"/>
          <w:lang w:val="es-CO"/>
        </w:rPr>
        <w:t>.</w:t>
      </w:r>
    </w:p>
    <w:p w14:paraId="2B14CCFD" w14:textId="77777777" w:rsidR="00117EC1" w:rsidRPr="00234DCC" w:rsidRDefault="00117EC1"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jc w:val="both"/>
        <w:rPr>
          <w:rFonts w:asciiTheme="majorHAnsi" w:hAnsiTheme="majorHAnsi"/>
          <w:sz w:val="20"/>
          <w:szCs w:val="20"/>
          <w:lang w:val="es-CO"/>
        </w:rPr>
      </w:pPr>
    </w:p>
    <w:p w14:paraId="03732D8C" w14:textId="77777777" w:rsidR="00AC16B3" w:rsidRPr="00A321D3" w:rsidRDefault="00AC16B3" w:rsidP="00975184">
      <w:pPr>
        <w:pStyle w:val="Heading2"/>
        <w:numPr>
          <w:ilvl w:val="0"/>
          <w:numId w:val="61"/>
        </w:numPr>
        <w:ind w:left="1440" w:hanging="720"/>
        <w:rPr>
          <w:rFonts w:cs="Arial"/>
          <w:bCs/>
          <w:iCs/>
          <w:lang w:val="es-VE"/>
        </w:rPr>
      </w:pPr>
      <w:bookmarkStart w:id="26" w:name="_Toc514247639"/>
      <w:r w:rsidRPr="00A321D3">
        <w:rPr>
          <w:rFonts w:cs="Arial"/>
          <w:bCs/>
          <w:iCs/>
          <w:lang w:val="es-VE"/>
        </w:rPr>
        <w:t>Sobre el proceso disciplinario en contra de la presunta víctima</w:t>
      </w:r>
      <w:bookmarkEnd w:id="26"/>
    </w:p>
    <w:p w14:paraId="74A71558" w14:textId="77777777" w:rsidR="00A65F4D" w:rsidRDefault="00A65F4D"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48EAC7BB" w14:textId="77777777" w:rsidR="00A65F4D" w:rsidRDefault="008616FA"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321D3">
        <w:rPr>
          <w:rFonts w:asciiTheme="majorHAnsi" w:hAnsiTheme="majorHAnsi"/>
          <w:sz w:val="20"/>
          <w:szCs w:val="20"/>
          <w:lang w:val="es-CO"/>
        </w:rPr>
        <w:t xml:space="preserve">En virtud de la resolución concediendo libertad incondicional, </w:t>
      </w:r>
      <w:r w:rsidR="00AC16B3" w:rsidRPr="00A321D3">
        <w:rPr>
          <w:rFonts w:asciiTheme="majorHAnsi" w:hAnsiTheme="majorHAnsi"/>
          <w:sz w:val="20"/>
          <w:szCs w:val="20"/>
          <w:lang w:val="es-CO"/>
        </w:rPr>
        <w:t xml:space="preserve">la Oficina de Control de la Magistratura </w:t>
      </w:r>
      <w:r w:rsidR="00D020E1" w:rsidRPr="00A321D3">
        <w:rPr>
          <w:rFonts w:asciiTheme="majorHAnsi" w:hAnsiTheme="majorHAnsi"/>
          <w:sz w:val="20"/>
          <w:szCs w:val="20"/>
          <w:lang w:val="es-CO"/>
        </w:rPr>
        <w:t xml:space="preserve">inició un proceso disciplinario en contra de la presunta víctima, </w:t>
      </w:r>
      <w:r w:rsidR="00263949" w:rsidRPr="00A321D3">
        <w:rPr>
          <w:rFonts w:asciiTheme="majorHAnsi" w:hAnsiTheme="majorHAnsi"/>
          <w:sz w:val="20"/>
          <w:szCs w:val="20"/>
          <w:lang w:val="es-CO"/>
        </w:rPr>
        <w:t xml:space="preserve">por </w:t>
      </w:r>
      <w:r w:rsidR="00626740" w:rsidRPr="00A321D3">
        <w:rPr>
          <w:rFonts w:asciiTheme="majorHAnsi" w:hAnsiTheme="majorHAnsi"/>
          <w:sz w:val="20"/>
          <w:szCs w:val="20"/>
          <w:lang w:val="es-CO"/>
        </w:rPr>
        <w:t xml:space="preserve">la causal </w:t>
      </w:r>
      <w:r w:rsidR="008574B3" w:rsidRPr="00A321D3">
        <w:rPr>
          <w:rFonts w:asciiTheme="majorHAnsi" w:hAnsiTheme="majorHAnsi"/>
          <w:sz w:val="20"/>
          <w:szCs w:val="20"/>
          <w:lang w:val="es-CO"/>
        </w:rPr>
        <w:t xml:space="preserve">consistente en incurrir en “un hecho grave que sin ser delito compromete la dignidad del cargo”, tomando en cuenta </w:t>
      </w:r>
      <w:r w:rsidR="00D020E1" w:rsidRPr="00A321D3">
        <w:rPr>
          <w:rFonts w:asciiTheme="majorHAnsi" w:hAnsiTheme="majorHAnsi"/>
          <w:sz w:val="20"/>
          <w:szCs w:val="20"/>
          <w:lang w:val="es-CO"/>
        </w:rPr>
        <w:t xml:space="preserve">la </w:t>
      </w:r>
      <w:r w:rsidR="00365A69" w:rsidRPr="00A321D3">
        <w:rPr>
          <w:rFonts w:asciiTheme="majorHAnsi" w:hAnsiTheme="majorHAnsi"/>
          <w:sz w:val="20"/>
          <w:szCs w:val="20"/>
          <w:lang w:val="es-CO"/>
        </w:rPr>
        <w:t>“repercusión social producida en la ciudad de Huánuco por ese hecho y que aparece reflejada en publicaciones periodísticas”</w:t>
      </w:r>
      <w:r w:rsidR="00365A69" w:rsidRPr="00A321D3">
        <w:rPr>
          <w:rStyle w:val="FootnoteReference"/>
          <w:rFonts w:asciiTheme="majorHAnsi" w:hAnsiTheme="majorHAnsi"/>
          <w:sz w:val="20"/>
          <w:szCs w:val="20"/>
          <w:lang w:val="es-CO"/>
        </w:rPr>
        <w:footnoteReference w:id="13"/>
      </w:r>
      <w:r w:rsidR="00A65F4D">
        <w:rPr>
          <w:rFonts w:asciiTheme="majorHAnsi" w:hAnsiTheme="majorHAnsi"/>
          <w:sz w:val="20"/>
          <w:szCs w:val="20"/>
          <w:lang w:val="es-CO"/>
        </w:rPr>
        <w:t>.</w:t>
      </w:r>
    </w:p>
    <w:p w14:paraId="71FD2706" w14:textId="77777777" w:rsidR="00A65F4D" w:rsidRDefault="00A65F4D"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17CF0612" w14:textId="77777777" w:rsidR="00A65F4D" w:rsidRDefault="00365A69"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51550E">
        <w:rPr>
          <w:rFonts w:asciiTheme="majorHAnsi" w:hAnsiTheme="majorHAnsi"/>
          <w:sz w:val="20"/>
          <w:szCs w:val="20"/>
          <w:lang w:val="es-CO"/>
        </w:rPr>
        <w:t>El 3 de agosto de 1995</w:t>
      </w:r>
      <w:r w:rsidRPr="00A65F4D">
        <w:rPr>
          <w:rFonts w:asciiTheme="majorHAnsi" w:hAnsiTheme="majorHAnsi"/>
          <w:sz w:val="20"/>
          <w:szCs w:val="20"/>
          <w:lang w:val="es-CO"/>
        </w:rPr>
        <w:t xml:space="preserve"> la Oficina de Control de la Magistratura </w:t>
      </w:r>
      <w:r w:rsidR="001B5D9D" w:rsidRPr="00A65F4D">
        <w:rPr>
          <w:rFonts w:asciiTheme="majorHAnsi" w:hAnsiTheme="majorHAnsi"/>
          <w:sz w:val="20"/>
          <w:szCs w:val="20"/>
          <w:lang w:val="es-CO"/>
        </w:rPr>
        <w:t xml:space="preserve">del Poder Judicial </w:t>
      </w:r>
      <w:r w:rsidRPr="00A65F4D">
        <w:rPr>
          <w:rFonts w:asciiTheme="majorHAnsi" w:hAnsiTheme="majorHAnsi"/>
          <w:sz w:val="20"/>
          <w:szCs w:val="20"/>
          <w:lang w:val="es-CO"/>
        </w:rPr>
        <w:t>emitió un informe de investigación en el que</w:t>
      </w:r>
      <w:r w:rsidR="0007072F" w:rsidRPr="00A65F4D">
        <w:rPr>
          <w:rFonts w:asciiTheme="majorHAnsi" w:hAnsiTheme="majorHAnsi"/>
          <w:sz w:val="20"/>
          <w:szCs w:val="20"/>
          <w:lang w:val="es-CO"/>
        </w:rPr>
        <w:t xml:space="preserve"> señaló las razones por las cuales estimaba que </w:t>
      </w:r>
      <w:r w:rsidR="00A93F39" w:rsidRPr="00A65F4D">
        <w:rPr>
          <w:rFonts w:asciiTheme="majorHAnsi" w:hAnsiTheme="majorHAnsi"/>
          <w:sz w:val="20"/>
          <w:szCs w:val="20"/>
          <w:lang w:val="es-CO"/>
        </w:rPr>
        <w:t>la presunta víctima incurrió en la causal de irregularidad funcional al conceder la libertad incondicional</w:t>
      </w:r>
      <w:r w:rsidR="00A93F39" w:rsidRPr="00A321D3">
        <w:rPr>
          <w:rStyle w:val="FootnoteReference"/>
          <w:rFonts w:asciiTheme="majorHAnsi" w:hAnsiTheme="majorHAnsi"/>
          <w:sz w:val="20"/>
          <w:szCs w:val="20"/>
          <w:lang w:val="es-CO"/>
        </w:rPr>
        <w:footnoteReference w:id="14"/>
      </w:r>
      <w:r w:rsidR="00A93F39" w:rsidRPr="00A65F4D">
        <w:rPr>
          <w:rFonts w:asciiTheme="majorHAnsi" w:hAnsiTheme="majorHAnsi"/>
          <w:sz w:val="20"/>
          <w:szCs w:val="20"/>
          <w:lang w:val="es-CO"/>
        </w:rPr>
        <w:t xml:space="preserve"> a dos personas por el delito de tráfico ilícito </w:t>
      </w:r>
      <w:r w:rsidR="00E87899" w:rsidRPr="00A65F4D">
        <w:rPr>
          <w:rFonts w:asciiTheme="majorHAnsi" w:hAnsiTheme="majorHAnsi"/>
          <w:sz w:val="20"/>
          <w:szCs w:val="20"/>
          <w:lang w:val="es-CO"/>
        </w:rPr>
        <w:t>de drogas. En parti</w:t>
      </w:r>
      <w:r w:rsidR="00A65F4D">
        <w:rPr>
          <w:rFonts w:asciiTheme="majorHAnsi" w:hAnsiTheme="majorHAnsi"/>
          <w:sz w:val="20"/>
          <w:szCs w:val="20"/>
          <w:lang w:val="es-CO"/>
        </w:rPr>
        <w:t>cular, dicho informe indica que:</w:t>
      </w:r>
    </w:p>
    <w:p w14:paraId="7C28A1CC" w14:textId="77777777" w:rsidR="00A65F4D" w:rsidRDefault="00A65F4D" w:rsidP="00975184">
      <w:pPr>
        <w:pStyle w:val="ListParagraph"/>
        <w:rPr>
          <w:rFonts w:asciiTheme="majorHAnsi" w:hAnsiTheme="majorHAnsi"/>
          <w:sz w:val="20"/>
          <w:szCs w:val="20"/>
          <w:lang w:val="es-CO"/>
        </w:rPr>
      </w:pPr>
    </w:p>
    <w:p w14:paraId="3DD41754" w14:textId="77777777" w:rsidR="00A65F4D" w:rsidRDefault="00E87899"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r w:rsidRPr="00A65F4D">
        <w:rPr>
          <w:rFonts w:asciiTheme="majorHAnsi" w:hAnsiTheme="majorHAnsi"/>
          <w:sz w:val="20"/>
          <w:szCs w:val="20"/>
          <w:lang w:val="es-CO"/>
        </w:rPr>
        <w:t>(…</w:t>
      </w:r>
      <w:r w:rsidR="009C6489" w:rsidRPr="00A65F4D">
        <w:rPr>
          <w:rFonts w:asciiTheme="majorHAnsi" w:hAnsiTheme="majorHAnsi"/>
          <w:sz w:val="20"/>
          <w:szCs w:val="20"/>
          <w:lang w:val="es-CO"/>
        </w:rPr>
        <w:t>) se</w:t>
      </w:r>
      <w:r w:rsidRPr="00A65F4D">
        <w:rPr>
          <w:rFonts w:asciiTheme="majorHAnsi" w:hAnsiTheme="majorHAnsi"/>
          <w:sz w:val="20"/>
          <w:szCs w:val="20"/>
          <w:lang w:val="es-CO"/>
        </w:rPr>
        <w:t xml:space="preserve"> detectaron las siguientes irregularidades:</w:t>
      </w:r>
    </w:p>
    <w:p w14:paraId="0C8FD40D" w14:textId="77777777" w:rsidR="00A65F4D" w:rsidRDefault="00A65F4D"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p>
    <w:p w14:paraId="04C6A4BC" w14:textId="77777777" w:rsidR="00A65F4D" w:rsidRDefault="00E87899"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s-CO"/>
        </w:rPr>
      </w:pPr>
      <w:r w:rsidRPr="00A321D3">
        <w:rPr>
          <w:rFonts w:asciiTheme="majorHAnsi" w:hAnsiTheme="majorHAnsi"/>
          <w:sz w:val="20"/>
          <w:szCs w:val="20"/>
          <w:lang w:val="es-CO"/>
        </w:rPr>
        <w:t>a.d.) El Presidente de la Corte Doctor Humberto Cajahuanca, designa al Doctor Héctor Cordero Bernal, Juez Provisional del Cuarto Juzgado</w:t>
      </w:r>
      <w:r w:rsidR="00507C6D" w:rsidRPr="00A321D3">
        <w:rPr>
          <w:rFonts w:asciiTheme="majorHAnsi" w:hAnsiTheme="majorHAnsi"/>
          <w:sz w:val="20"/>
          <w:szCs w:val="20"/>
          <w:lang w:val="es-CO"/>
        </w:rPr>
        <w:t xml:space="preserve"> </w:t>
      </w:r>
      <w:r w:rsidRPr="00A321D3">
        <w:rPr>
          <w:rFonts w:asciiTheme="majorHAnsi" w:hAnsiTheme="majorHAnsi"/>
          <w:sz w:val="20"/>
          <w:szCs w:val="20"/>
          <w:lang w:val="es-CO"/>
        </w:rPr>
        <w:t>Penal de Huánuco, a fin de que se haga cargo del Despacho del Primer Juzgado, cuando correspondía al Quinto Juzgado Penal de Huánuco por ser el de Turno (sic) más remoto</w:t>
      </w:r>
      <w:r w:rsidR="00063833" w:rsidRPr="00A321D3">
        <w:rPr>
          <w:rFonts w:asciiTheme="majorHAnsi" w:hAnsiTheme="majorHAnsi"/>
          <w:sz w:val="20"/>
          <w:szCs w:val="20"/>
          <w:lang w:val="es-CO"/>
        </w:rPr>
        <w:t>;</w:t>
      </w:r>
    </w:p>
    <w:p w14:paraId="53AA61A4" w14:textId="77777777" w:rsidR="00A65F4D" w:rsidRDefault="00A65F4D"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p>
    <w:p w14:paraId="4A70A3E6" w14:textId="77777777" w:rsidR="00A65F4D" w:rsidRDefault="005075CC"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s-CO"/>
        </w:rPr>
      </w:pPr>
      <w:r w:rsidRPr="00A321D3">
        <w:rPr>
          <w:rFonts w:asciiTheme="majorHAnsi" w:hAnsiTheme="majorHAnsi"/>
          <w:sz w:val="20"/>
          <w:szCs w:val="20"/>
          <w:lang w:val="es-CO"/>
        </w:rPr>
        <w:t>(…) la decisión del Juzgador tiene como fundamentos la Jurisprudencia de la Corte Suprema de Justicia de la República en que absuelve a los encausados por Tráfico Ilícito de Drogas, cuando la pasta básica de cocaína no fue hallada en poder de los inculpados y las pruebas aportadas po</w:t>
      </w:r>
      <w:r w:rsidR="0055094D" w:rsidRPr="00A321D3">
        <w:rPr>
          <w:rFonts w:asciiTheme="majorHAnsi" w:hAnsiTheme="majorHAnsi"/>
          <w:sz w:val="20"/>
          <w:szCs w:val="20"/>
          <w:lang w:val="es-CO"/>
        </w:rPr>
        <w:t>r la defensa de los inculpados (…) durante la intervención se incautaron trece paquetes de pasta básica de cocaína que hacían un total de cuarentinueve kilogramos novecientos gramos, si bien esta droga no fue hallada en poder de los inculpados ni dentro de la avioneta que conducían estos, sino en la pist</w:t>
      </w:r>
      <w:r w:rsidR="00C41A67" w:rsidRPr="00A321D3">
        <w:rPr>
          <w:rFonts w:asciiTheme="majorHAnsi" w:hAnsiTheme="majorHAnsi"/>
          <w:sz w:val="20"/>
          <w:szCs w:val="20"/>
          <w:lang w:val="es-CO"/>
        </w:rPr>
        <w:t>a clandestina donde aterrizaron, existían suficientes elementos que permitían establecer el nexo causal entre los inculpados y el delito que se les imputaba, tales como a) haber ingresado en forma ilegal al territorio peruano y con una avioneta robada hechos que fueron admitidos por los propios inculpados en sus declaraciones instructivas, b) el haber puesto resistencia a las señales de persuasión de los miembros de la Fuerza Aérea que los intervino, para luego de aterrizar en una pista clandestina que al parecer era su destino, pues no supieron indicar con precisión el lugar de su destino final, resultando inconsistente su afirmación de que no tenían plan de vuelo: c) darse a la fuga abandonando la aeronave que conducían en la que se halló una bolsa de polietileno conteniendo la suma de trescientos noventa mil dólares americanos (…) sin embargo todo estos elementos son considerados por el Juez como “ligeros indicios que ameritaron una volátil presunción de la conducta delictiva de los encausados (sic)”</w:t>
      </w:r>
      <w:r w:rsidR="0051072B" w:rsidRPr="00A321D3">
        <w:rPr>
          <w:rFonts w:asciiTheme="majorHAnsi" w:hAnsiTheme="majorHAnsi"/>
          <w:sz w:val="20"/>
          <w:szCs w:val="20"/>
          <w:lang w:val="es-CO"/>
        </w:rPr>
        <w:t>, sin tener en cuenta que se tratan (sic) de evidencias circunstanciales que además por tratarse del delito de narcotráfico hacen desaparecer la presunción de inocencia, caso en el que conforme lo ha dictaminado la Comisión Interamericana de Derechos Humanos se produce la inversión de la carga de la prueba por la abundante y coincidente presencia de indicios contra las personas sindicadas en la acción; Que por otro lado el Juez investigado sólo ha evaluado las pruebas aportadas por los encausados fundando su decisión en las mismas, sin act</w:t>
      </w:r>
      <w:r w:rsidR="00A65F4D">
        <w:rPr>
          <w:rFonts w:asciiTheme="majorHAnsi" w:hAnsiTheme="majorHAnsi"/>
          <w:sz w:val="20"/>
          <w:szCs w:val="20"/>
          <w:lang w:val="es-CO"/>
        </w:rPr>
        <w:t xml:space="preserve">uar ninguna prueba de oficio. </w:t>
      </w:r>
    </w:p>
    <w:p w14:paraId="5E4C87CB" w14:textId="77777777" w:rsidR="00A65F4D" w:rsidRDefault="00A06B30"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s-CO"/>
        </w:rPr>
      </w:pPr>
      <w:r w:rsidRPr="00A321D3">
        <w:rPr>
          <w:rFonts w:asciiTheme="majorHAnsi" w:hAnsiTheme="majorHAnsi"/>
          <w:sz w:val="20"/>
          <w:szCs w:val="20"/>
          <w:lang w:val="es-CO"/>
        </w:rPr>
        <w:t>(…) una vez en el cargo y en única intervención otorgó indebidamente Libertad Incondicional a dos presuntos narcotraficantes colombianos, como ha quedado establecido anteriormente, vulnerando gravemente nuestro ordenamie</w:t>
      </w:r>
      <w:r w:rsidR="00AD4D37" w:rsidRPr="00A321D3">
        <w:rPr>
          <w:rFonts w:asciiTheme="majorHAnsi" w:hAnsiTheme="majorHAnsi"/>
          <w:sz w:val="20"/>
          <w:szCs w:val="20"/>
          <w:lang w:val="es-CO"/>
        </w:rPr>
        <w:t>nto jurídico (…) hecho que se ve sumamente agravado por tratarse de un delito de Tráfico Ilícito de Drogas a nivel internacional (…).</w:t>
      </w:r>
    </w:p>
    <w:p w14:paraId="64BD7A25" w14:textId="77777777" w:rsidR="00972BF1" w:rsidRDefault="00972BF1"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s-CO"/>
        </w:rPr>
      </w:pPr>
    </w:p>
    <w:p w14:paraId="39025D66" w14:textId="05F00A08" w:rsidR="005D2642" w:rsidRPr="00A321D3" w:rsidRDefault="005D2642"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s-CO"/>
        </w:rPr>
      </w:pPr>
      <w:r w:rsidRPr="00A321D3">
        <w:rPr>
          <w:rFonts w:asciiTheme="majorHAnsi" w:hAnsiTheme="majorHAnsi"/>
          <w:sz w:val="20"/>
          <w:szCs w:val="20"/>
          <w:lang w:val="es-CO"/>
        </w:rPr>
        <w:t>(…)</w:t>
      </w:r>
      <w:r w:rsidR="00972BF1">
        <w:rPr>
          <w:rFonts w:asciiTheme="majorHAnsi" w:hAnsiTheme="majorHAnsi"/>
          <w:sz w:val="20"/>
          <w:szCs w:val="20"/>
          <w:lang w:val="es-CO"/>
        </w:rPr>
        <w:t xml:space="preserve"> </w:t>
      </w:r>
      <w:r w:rsidRPr="00A321D3">
        <w:rPr>
          <w:rFonts w:asciiTheme="majorHAnsi" w:hAnsiTheme="majorHAnsi"/>
          <w:sz w:val="20"/>
          <w:szCs w:val="20"/>
          <w:lang w:val="es-CO"/>
        </w:rPr>
        <w:t>de las consideraciones glosadas se advierten indicios razonables de la comisión de un delito, que debe ser puesto en conocimiento del Ministerio Público para los fines consiguientes</w:t>
      </w:r>
      <w:r w:rsidRPr="00A321D3">
        <w:rPr>
          <w:rStyle w:val="FootnoteReference"/>
          <w:rFonts w:asciiTheme="majorHAnsi" w:hAnsiTheme="majorHAnsi"/>
          <w:sz w:val="20"/>
          <w:szCs w:val="20"/>
          <w:lang w:val="es-CO"/>
        </w:rPr>
        <w:footnoteReference w:id="15"/>
      </w:r>
      <w:r w:rsidRPr="00A321D3">
        <w:rPr>
          <w:rFonts w:asciiTheme="majorHAnsi" w:hAnsiTheme="majorHAnsi"/>
          <w:sz w:val="20"/>
          <w:szCs w:val="20"/>
          <w:lang w:val="es-CO"/>
        </w:rPr>
        <w:t>.</w:t>
      </w:r>
    </w:p>
    <w:p w14:paraId="2AC5E60D" w14:textId="77777777" w:rsidR="00A65F4D" w:rsidRDefault="00A65F4D"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05174BF4" w14:textId="77777777" w:rsidR="00A65F4D" w:rsidRDefault="00401AD9"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321D3">
        <w:rPr>
          <w:rFonts w:asciiTheme="majorHAnsi" w:hAnsiTheme="majorHAnsi"/>
          <w:sz w:val="20"/>
          <w:szCs w:val="20"/>
          <w:lang w:val="es-CO"/>
        </w:rPr>
        <w:t>Asimismo, en el referido informe se s</w:t>
      </w:r>
      <w:r w:rsidR="00365A69" w:rsidRPr="00A321D3">
        <w:rPr>
          <w:rFonts w:asciiTheme="majorHAnsi" w:hAnsiTheme="majorHAnsi"/>
          <w:sz w:val="20"/>
          <w:szCs w:val="20"/>
          <w:lang w:val="es-CO"/>
        </w:rPr>
        <w:t xml:space="preserve">olicitó a la Corte Suprema de Justicia de la República que formulara el pedido de destitución de la presunta víctima y </w:t>
      </w:r>
      <w:r w:rsidR="005D2642" w:rsidRPr="00A321D3">
        <w:rPr>
          <w:rFonts w:asciiTheme="majorHAnsi" w:hAnsiTheme="majorHAnsi"/>
          <w:sz w:val="20"/>
          <w:szCs w:val="20"/>
          <w:lang w:val="es-CO"/>
        </w:rPr>
        <w:t xml:space="preserve">de Humberto Cajahuanca Vasquez, por lo que </w:t>
      </w:r>
      <w:r w:rsidR="00365A69" w:rsidRPr="00A321D3">
        <w:rPr>
          <w:rFonts w:asciiTheme="majorHAnsi" w:hAnsiTheme="majorHAnsi"/>
          <w:sz w:val="20"/>
          <w:szCs w:val="20"/>
          <w:lang w:val="es-CO"/>
        </w:rPr>
        <w:t xml:space="preserve">ordenó </w:t>
      </w:r>
      <w:r w:rsidR="005D2642" w:rsidRPr="00A321D3">
        <w:rPr>
          <w:rFonts w:asciiTheme="majorHAnsi" w:hAnsiTheme="majorHAnsi"/>
          <w:sz w:val="20"/>
          <w:szCs w:val="20"/>
          <w:lang w:val="es-CO"/>
        </w:rPr>
        <w:t xml:space="preserve">que </w:t>
      </w:r>
      <w:r w:rsidR="00365A69" w:rsidRPr="00A321D3">
        <w:rPr>
          <w:rFonts w:asciiTheme="majorHAnsi" w:hAnsiTheme="majorHAnsi"/>
          <w:sz w:val="20"/>
          <w:szCs w:val="20"/>
          <w:lang w:val="es-CO"/>
        </w:rPr>
        <w:t xml:space="preserve">se dispusiera como medida provisional la suspensión en el cargo de </w:t>
      </w:r>
      <w:r w:rsidR="005D2642" w:rsidRPr="00A321D3">
        <w:rPr>
          <w:rFonts w:asciiTheme="majorHAnsi" w:hAnsiTheme="majorHAnsi"/>
          <w:sz w:val="20"/>
          <w:szCs w:val="20"/>
          <w:lang w:val="es-CO"/>
        </w:rPr>
        <w:t>ambos</w:t>
      </w:r>
      <w:r w:rsidR="000D308C" w:rsidRPr="00A321D3">
        <w:rPr>
          <w:rFonts w:asciiTheme="majorHAnsi" w:hAnsiTheme="majorHAnsi"/>
          <w:sz w:val="20"/>
          <w:szCs w:val="20"/>
          <w:lang w:val="es-CO"/>
        </w:rPr>
        <w:t xml:space="preserve"> hasta que se resolviera su situación laboral</w:t>
      </w:r>
      <w:r w:rsidR="00365A69" w:rsidRPr="00A321D3">
        <w:rPr>
          <w:rStyle w:val="FootnoteReference"/>
          <w:rFonts w:asciiTheme="majorHAnsi" w:hAnsiTheme="majorHAnsi"/>
          <w:sz w:val="20"/>
          <w:szCs w:val="20"/>
          <w:lang w:val="es-CO"/>
        </w:rPr>
        <w:footnoteReference w:id="16"/>
      </w:r>
      <w:r w:rsidR="00365A69" w:rsidRPr="00A321D3">
        <w:rPr>
          <w:rFonts w:asciiTheme="majorHAnsi" w:hAnsiTheme="majorHAnsi"/>
          <w:sz w:val="20"/>
          <w:szCs w:val="20"/>
          <w:lang w:val="es-CO"/>
        </w:rPr>
        <w:t>.</w:t>
      </w:r>
      <w:r w:rsidR="00A66A0A" w:rsidRPr="00A321D3">
        <w:rPr>
          <w:rFonts w:asciiTheme="majorHAnsi" w:hAnsiTheme="majorHAnsi"/>
          <w:sz w:val="20"/>
          <w:szCs w:val="20"/>
          <w:lang w:val="es-CO"/>
        </w:rPr>
        <w:t xml:space="preserve"> </w:t>
      </w:r>
    </w:p>
    <w:p w14:paraId="69C99133" w14:textId="77777777" w:rsidR="00A65F4D" w:rsidRDefault="00A65F4D"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74D44F41" w14:textId="77777777" w:rsidR="00A65F4D" w:rsidRDefault="00365A69"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65F4D">
        <w:rPr>
          <w:rFonts w:asciiTheme="majorHAnsi" w:hAnsiTheme="majorHAnsi"/>
          <w:sz w:val="20"/>
          <w:szCs w:val="20"/>
          <w:lang w:val="es-CO"/>
        </w:rPr>
        <w:t xml:space="preserve">El 18 de octubre de 1995 el Presidente del Consejo Ejecutivo del </w:t>
      </w:r>
      <w:r w:rsidR="008C0121" w:rsidRPr="00A65F4D">
        <w:rPr>
          <w:rFonts w:asciiTheme="majorHAnsi" w:hAnsiTheme="majorHAnsi"/>
          <w:sz w:val="20"/>
          <w:szCs w:val="20"/>
          <w:lang w:val="es-CO"/>
        </w:rPr>
        <w:t xml:space="preserve">Poder Judicial decidió aprobar la propuesta de destitución de la presunta víctima y solicitó al CNM proceder a su destitución. </w:t>
      </w:r>
      <w:r w:rsidR="00A65F4D">
        <w:rPr>
          <w:rFonts w:asciiTheme="majorHAnsi" w:hAnsiTheme="majorHAnsi"/>
          <w:sz w:val="20"/>
          <w:szCs w:val="20"/>
          <w:lang w:val="es-CO"/>
        </w:rPr>
        <w:t>En dicha decisión se indica:</w:t>
      </w:r>
    </w:p>
    <w:p w14:paraId="0FF168E0" w14:textId="77777777" w:rsidR="00A65F4D" w:rsidRDefault="00A65F4D" w:rsidP="00975184">
      <w:pPr>
        <w:pStyle w:val="ListParagraph"/>
        <w:rPr>
          <w:rFonts w:asciiTheme="majorHAnsi" w:hAnsiTheme="majorHAnsi"/>
          <w:sz w:val="20"/>
          <w:szCs w:val="20"/>
          <w:lang w:val="es-CO"/>
        </w:rPr>
      </w:pPr>
    </w:p>
    <w:p w14:paraId="3B512162" w14:textId="77777777" w:rsidR="004F4362" w:rsidRDefault="008C0121"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s-CO"/>
        </w:rPr>
      </w:pPr>
      <w:r w:rsidRPr="00A65F4D">
        <w:rPr>
          <w:rFonts w:asciiTheme="majorHAnsi" w:hAnsiTheme="majorHAnsi"/>
          <w:sz w:val="20"/>
          <w:szCs w:val="20"/>
          <w:lang w:val="es-CO"/>
        </w:rPr>
        <w:t xml:space="preserve">SE RESUELVE: Primero: </w:t>
      </w:r>
      <w:r w:rsidR="00525944" w:rsidRPr="00A65F4D">
        <w:rPr>
          <w:rFonts w:asciiTheme="majorHAnsi" w:hAnsiTheme="majorHAnsi"/>
          <w:sz w:val="20"/>
          <w:szCs w:val="20"/>
          <w:lang w:val="es-CO"/>
        </w:rPr>
        <w:t>aprobar la propuesta de destitución formulada por el Vocal Supremo-Jefe de la Oficina de Control de la Magistratura del Poder Judicial, mediante la resolución de fecha tres de agosto de presente año y, Segundo: solicitar al Consejo Superior de la Magistratura</w:t>
      </w:r>
      <w:r w:rsidR="003A7667" w:rsidRPr="00A65F4D">
        <w:rPr>
          <w:rFonts w:asciiTheme="majorHAnsi" w:hAnsiTheme="majorHAnsi"/>
          <w:sz w:val="20"/>
          <w:szCs w:val="20"/>
          <w:lang w:val="es-CO"/>
        </w:rPr>
        <w:t xml:space="preserve"> la destitución del (…) doctor Héctor Fidel Cordero Bernal</w:t>
      </w:r>
      <w:r w:rsidR="007765C5" w:rsidRPr="00A321D3">
        <w:rPr>
          <w:rStyle w:val="FootnoteReference"/>
          <w:rFonts w:asciiTheme="majorHAnsi" w:hAnsiTheme="majorHAnsi"/>
          <w:sz w:val="20"/>
          <w:szCs w:val="20"/>
          <w:lang w:val="es-CO"/>
        </w:rPr>
        <w:footnoteReference w:id="17"/>
      </w:r>
      <w:r w:rsidR="003A7667" w:rsidRPr="00A65F4D">
        <w:rPr>
          <w:rFonts w:asciiTheme="majorHAnsi" w:hAnsiTheme="majorHAnsi"/>
          <w:sz w:val="20"/>
          <w:szCs w:val="20"/>
          <w:lang w:val="es-CO"/>
        </w:rPr>
        <w:t>.</w:t>
      </w:r>
    </w:p>
    <w:p w14:paraId="327A756F" w14:textId="77777777" w:rsidR="00A65F4D" w:rsidRPr="00A65F4D" w:rsidRDefault="00A65F4D"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p>
    <w:p w14:paraId="1EF7EC15" w14:textId="77777777" w:rsidR="00A65F4D" w:rsidRDefault="009E2387"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321D3">
        <w:rPr>
          <w:rFonts w:asciiTheme="majorHAnsi" w:hAnsiTheme="majorHAnsi"/>
          <w:sz w:val="20"/>
          <w:szCs w:val="20"/>
          <w:lang w:val="es-CO"/>
        </w:rPr>
        <w:t xml:space="preserve">La Comisión hace notar que no cuenta con la notificación del inicio del proceso disciplinario en contra de la presunta víctima. En la decisión de 3 de agosto de 1995, se hace referencia a declaraciones rendidas por la presunta víctima previo a la emisión de dicha decisión. </w:t>
      </w:r>
    </w:p>
    <w:p w14:paraId="2828A36B" w14:textId="77777777" w:rsidR="00A65F4D" w:rsidRDefault="00A65F4D"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3A1205C8" w14:textId="77777777" w:rsidR="00A65F4D" w:rsidRDefault="00365A69"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65F4D">
        <w:rPr>
          <w:rFonts w:asciiTheme="majorHAnsi" w:hAnsiTheme="majorHAnsi"/>
          <w:sz w:val="20"/>
          <w:szCs w:val="20"/>
          <w:lang w:val="es-CO"/>
        </w:rPr>
        <w:t>El 1 de diciembre de 1995 la presunta víctima presentó escrito de descargos ante el CNM</w:t>
      </w:r>
      <w:r w:rsidRPr="00A321D3">
        <w:rPr>
          <w:rStyle w:val="FootnoteReference"/>
          <w:rFonts w:asciiTheme="majorHAnsi" w:hAnsiTheme="majorHAnsi"/>
          <w:sz w:val="20"/>
          <w:szCs w:val="20"/>
          <w:lang w:val="es-CO"/>
        </w:rPr>
        <w:footnoteReference w:id="18"/>
      </w:r>
      <w:r w:rsidRPr="00A65F4D">
        <w:rPr>
          <w:rFonts w:asciiTheme="majorHAnsi" w:hAnsiTheme="majorHAnsi"/>
          <w:sz w:val="20"/>
          <w:szCs w:val="20"/>
          <w:lang w:val="es-CO"/>
        </w:rPr>
        <w:t>. En el referido escrito</w:t>
      </w:r>
      <w:r w:rsidR="00E55D70" w:rsidRPr="00A65F4D">
        <w:rPr>
          <w:rFonts w:asciiTheme="majorHAnsi" w:hAnsiTheme="majorHAnsi"/>
          <w:sz w:val="20"/>
          <w:szCs w:val="20"/>
          <w:lang w:val="es-CO"/>
        </w:rPr>
        <w:t xml:space="preserve"> la presunta víctima </w:t>
      </w:r>
      <w:r w:rsidR="00CF2E26" w:rsidRPr="00A65F4D">
        <w:rPr>
          <w:rFonts w:asciiTheme="majorHAnsi" w:hAnsiTheme="majorHAnsi"/>
          <w:sz w:val="20"/>
          <w:szCs w:val="20"/>
          <w:lang w:val="es-CO"/>
        </w:rPr>
        <w:t xml:space="preserve">argumentó </w:t>
      </w:r>
      <w:r w:rsidR="008B4B92" w:rsidRPr="00A65F4D">
        <w:rPr>
          <w:rFonts w:asciiTheme="majorHAnsi" w:hAnsiTheme="majorHAnsi"/>
          <w:sz w:val="20"/>
          <w:szCs w:val="20"/>
          <w:lang w:val="es-CO"/>
        </w:rPr>
        <w:t>entre otras cuestiones, las siguientes razones</w:t>
      </w:r>
      <w:r w:rsidR="00CF2E26" w:rsidRPr="00A65F4D">
        <w:rPr>
          <w:rFonts w:asciiTheme="majorHAnsi" w:hAnsiTheme="majorHAnsi"/>
          <w:sz w:val="20"/>
          <w:szCs w:val="20"/>
          <w:lang w:val="es-CO"/>
        </w:rPr>
        <w:t xml:space="preserve"> que justificaron su decisión: </w:t>
      </w:r>
    </w:p>
    <w:p w14:paraId="60748F30" w14:textId="77777777" w:rsidR="00A65F4D" w:rsidRDefault="00A65F4D" w:rsidP="00975184">
      <w:pPr>
        <w:pStyle w:val="ListParagraph"/>
        <w:rPr>
          <w:rFonts w:asciiTheme="majorHAnsi" w:hAnsiTheme="majorHAnsi"/>
          <w:sz w:val="20"/>
          <w:szCs w:val="20"/>
          <w:lang w:val="es-CO"/>
        </w:rPr>
      </w:pPr>
    </w:p>
    <w:p w14:paraId="72A613DA" w14:textId="77777777" w:rsidR="00224D88" w:rsidRPr="00A65F4D" w:rsidRDefault="00CF2E26"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s-CO"/>
        </w:rPr>
      </w:pPr>
      <w:r w:rsidRPr="00A65F4D">
        <w:rPr>
          <w:rFonts w:asciiTheme="majorHAnsi" w:hAnsiTheme="majorHAnsi"/>
          <w:sz w:val="20"/>
          <w:szCs w:val="20"/>
          <w:lang w:val="es-CO"/>
        </w:rPr>
        <w:t>Que si bien se decomisó droga, no se encontró en poder de los encausados ni se ha demostrado que fuera de ellos, y la zona en la que se encontró, a 450 mts de donde aterrizó la avioneta, es zona de incidencia de constante tráfico de drogas. Asimismo, su traslado hubiera sido dificultoso porque se tr</w:t>
      </w:r>
      <w:r w:rsidR="00F35678" w:rsidRPr="00A65F4D">
        <w:rPr>
          <w:rFonts w:asciiTheme="majorHAnsi" w:hAnsiTheme="majorHAnsi"/>
          <w:sz w:val="20"/>
          <w:szCs w:val="20"/>
          <w:lang w:val="es-CO"/>
        </w:rPr>
        <w:t xml:space="preserve">ataba de aproximadamente 50 kg.; </w:t>
      </w:r>
    </w:p>
    <w:p w14:paraId="68549638" w14:textId="77777777" w:rsidR="00A65F4D" w:rsidRDefault="00A65F4D"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1013BE49" w14:textId="19C2266A" w:rsidR="00A65F4D" w:rsidRDefault="00224D88"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321D3">
        <w:rPr>
          <w:rFonts w:asciiTheme="majorHAnsi" w:hAnsiTheme="majorHAnsi"/>
          <w:sz w:val="20"/>
          <w:szCs w:val="20"/>
          <w:lang w:val="es-CO"/>
        </w:rPr>
        <w:t xml:space="preserve">La presunta víctima </w:t>
      </w:r>
      <w:r w:rsidR="0001263D" w:rsidRPr="00A321D3">
        <w:rPr>
          <w:rFonts w:asciiTheme="majorHAnsi" w:hAnsiTheme="majorHAnsi"/>
          <w:sz w:val="20"/>
          <w:szCs w:val="20"/>
          <w:lang w:val="es-CO"/>
        </w:rPr>
        <w:t xml:space="preserve">se refirió a los indicios que forman parte del proceso disciplinario, según los cuales los procesados violaron </w:t>
      </w:r>
      <w:r w:rsidR="00F35678" w:rsidRPr="00A321D3">
        <w:rPr>
          <w:rFonts w:asciiTheme="majorHAnsi" w:hAnsiTheme="majorHAnsi"/>
          <w:sz w:val="20"/>
          <w:szCs w:val="20"/>
          <w:lang w:val="es-CO"/>
        </w:rPr>
        <w:t>el espacio aéreo peruano en una avioneta de matrícula extranjera robada, desobedecieron la orden de aterrizar, luego aterrizaron en una pista cla</w:t>
      </w:r>
      <w:r w:rsidR="00E91432">
        <w:rPr>
          <w:rFonts w:asciiTheme="majorHAnsi" w:hAnsiTheme="majorHAnsi"/>
          <w:sz w:val="20"/>
          <w:szCs w:val="20"/>
          <w:lang w:val="es-CO"/>
        </w:rPr>
        <w:t>ndestina</w:t>
      </w:r>
      <w:r w:rsidR="00F35678" w:rsidRPr="00A321D3">
        <w:rPr>
          <w:rFonts w:asciiTheme="majorHAnsi" w:hAnsiTheme="majorHAnsi"/>
          <w:sz w:val="20"/>
          <w:szCs w:val="20"/>
          <w:lang w:val="es-CO"/>
        </w:rPr>
        <w:t xml:space="preserve"> y luego se dieron a la fuga,  indicando que</w:t>
      </w:r>
      <w:r w:rsidR="0001263D" w:rsidRPr="00A321D3">
        <w:rPr>
          <w:rFonts w:asciiTheme="majorHAnsi" w:hAnsiTheme="majorHAnsi"/>
          <w:sz w:val="20"/>
          <w:szCs w:val="20"/>
          <w:lang w:val="es-CO"/>
        </w:rPr>
        <w:t>:</w:t>
      </w:r>
      <w:r w:rsidR="00F35678" w:rsidRPr="00A321D3">
        <w:rPr>
          <w:rFonts w:asciiTheme="majorHAnsi" w:hAnsiTheme="majorHAnsi"/>
          <w:sz w:val="20"/>
          <w:szCs w:val="20"/>
          <w:lang w:val="es-CO"/>
        </w:rPr>
        <w:t xml:space="preserve"> </w:t>
      </w:r>
    </w:p>
    <w:p w14:paraId="6077A520" w14:textId="77777777" w:rsidR="00A65F4D" w:rsidRDefault="00A65F4D"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p>
    <w:p w14:paraId="690695B6" w14:textId="3766C8A1" w:rsidR="00CF2E26" w:rsidRDefault="00EA1F8F"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s-CO"/>
        </w:rPr>
      </w:pPr>
      <w:r w:rsidRPr="00A65F4D">
        <w:rPr>
          <w:rFonts w:asciiTheme="majorHAnsi" w:hAnsiTheme="majorHAnsi"/>
          <w:sz w:val="20"/>
          <w:szCs w:val="20"/>
          <w:lang w:val="es-CO"/>
        </w:rPr>
        <w:t>Estos</w:t>
      </w:r>
      <w:r w:rsidR="00F35678" w:rsidRPr="00A65F4D">
        <w:rPr>
          <w:rFonts w:asciiTheme="majorHAnsi" w:hAnsiTheme="majorHAnsi"/>
          <w:sz w:val="20"/>
          <w:szCs w:val="20"/>
          <w:lang w:val="es-CO"/>
        </w:rPr>
        <w:t xml:space="preserve"> simples indicios (…) no han sido corroborados con prueba alguna por tanto queda desvanecida porque en materia penal un solo indicio, no nos da probanza</w:t>
      </w:r>
      <w:r w:rsidR="00803ADA" w:rsidRPr="00A65F4D">
        <w:rPr>
          <w:rFonts w:asciiTheme="majorHAnsi" w:hAnsiTheme="majorHAnsi"/>
          <w:sz w:val="20"/>
          <w:szCs w:val="20"/>
          <w:lang w:val="es-CO"/>
        </w:rPr>
        <w:t>, por su debilidad</w:t>
      </w:r>
      <w:r w:rsidR="00F35678" w:rsidRPr="00A65F4D">
        <w:rPr>
          <w:rFonts w:asciiTheme="majorHAnsi" w:hAnsiTheme="majorHAnsi"/>
          <w:sz w:val="20"/>
          <w:szCs w:val="20"/>
          <w:lang w:val="es-CO"/>
        </w:rPr>
        <w:t xml:space="preserve"> </w:t>
      </w:r>
      <w:r w:rsidR="00601C31" w:rsidRPr="00A65F4D">
        <w:rPr>
          <w:rFonts w:asciiTheme="majorHAnsi" w:hAnsiTheme="majorHAnsi"/>
          <w:sz w:val="20"/>
          <w:szCs w:val="20"/>
          <w:lang w:val="es-CO"/>
        </w:rPr>
        <w:t>y si bien es cierto que con él se tiene un concepto de probabilidad, ello no es certidumbre y no existiendo indicios razonables del ilícito imputado procede el pedido de libertad de los encausados porque el adjetivo RAZONABLES implica que la existencia del d</w:t>
      </w:r>
      <w:r w:rsidR="00593B9A" w:rsidRPr="00A65F4D">
        <w:rPr>
          <w:rFonts w:asciiTheme="majorHAnsi" w:hAnsiTheme="majorHAnsi"/>
          <w:sz w:val="20"/>
          <w:szCs w:val="20"/>
          <w:lang w:val="es-CO"/>
        </w:rPr>
        <w:t>elito no es una mera presunción</w:t>
      </w:r>
      <w:r w:rsidR="001172E3">
        <w:rPr>
          <w:rFonts w:asciiTheme="majorHAnsi" w:hAnsiTheme="majorHAnsi"/>
          <w:sz w:val="20"/>
          <w:szCs w:val="20"/>
          <w:lang w:val="es-CO"/>
        </w:rPr>
        <w:t>.</w:t>
      </w:r>
      <w:r w:rsidR="00601C31" w:rsidRPr="00A65F4D">
        <w:rPr>
          <w:rFonts w:asciiTheme="majorHAnsi" w:hAnsiTheme="majorHAnsi"/>
          <w:sz w:val="20"/>
          <w:szCs w:val="20"/>
          <w:lang w:val="es-CO"/>
        </w:rPr>
        <w:t xml:space="preserve"> (…)</w:t>
      </w:r>
      <w:r w:rsidR="00593B9A" w:rsidRPr="00A65F4D">
        <w:rPr>
          <w:rFonts w:asciiTheme="majorHAnsi" w:hAnsiTheme="majorHAnsi"/>
          <w:sz w:val="20"/>
          <w:szCs w:val="20"/>
          <w:lang w:val="es-CO"/>
        </w:rPr>
        <w:t xml:space="preserve"> </w:t>
      </w:r>
      <w:r w:rsidR="00A13149" w:rsidRPr="00A65F4D">
        <w:rPr>
          <w:rFonts w:asciiTheme="majorHAnsi" w:hAnsiTheme="majorHAnsi"/>
          <w:sz w:val="20"/>
          <w:szCs w:val="20"/>
          <w:lang w:val="es-CO"/>
        </w:rPr>
        <w:t>la versión según la cual se encontró una bolsa de polietileno con trescientos noventa mil dólares y un billete con adiciones de cocaína se contradice en el propio informe</w:t>
      </w:r>
      <w:r w:rsidR="005B1818" w:rsidRPr="00A65F4D">
        <w:rPr>
          <w:rFonts w:asciiTheme="majorHAnsi" w:hAnsiTheme="majorHAnsi"/>
          <w:sz w:val="20"/>
          <w:szCs w:val="20"/>
          <w:lang w:val="es-CO"/>
        </w:rPr>
        <w:t xml:space="preserve"> “por qué si esto último es cierto como es que aparece en un solo billete entre 400, con adhesiones de PBC.  O acaso no se puede deducir que el que manipuló el dinero lo había hecho con la PBC decomisada o fue uno de los llamados “sembrados” que hace la policía</w:t>
      </w:r>
      <w:r w:rsidR="0047742E" w:rsidRPr="00A65F4D">
        <w:rPr>
          <w:rFonts w:asciiTheme="majorHAnsi" w:hAnsiTheme="majorHAnsi"/>
          <w:sz w:val="20"/>
          <w:szCs w:val="20"/>
          <w:lang w:val="es-CO"/>
        </w:rPr>
        <w:t xml:space="preserve"> para justificar este delito”. </w:t>
      </w:r>
      <w:r w:rsidR="005B1818" w:rsidRPr="00A65F4D">
        <w:rPr>
          <w:rFonts w:asciiTheme="majorHAnsi" w:hAnsiTheme="majorHAnsi"/>
          <w:sz w:val="20"/>
          <w:szCs w:val="20"/>
          <w:lang w:val="es-CO"/>
        </w:rPr>
        <w:t>Añadió que en los delitos de narcotráfico no desaparece la presunción de inocencia, como lo indica el autor del informe que plantea cargos en su contra</w:t>
      </w:r>
      <w:r w:rsidR="005B1818" w:rsidRPr="00A321D3">
        <w:rPr>
          <w:rStyle w:val="FootnoteReference"/>
          <w:rFonts w:asciiTheme="majorHAnsi" w:hAnsiTheme="majorHAnsi"/>
          <w:sz w:val="20"/>
          <w:szCs w:val="20"/>
          <w:lang w:val="es-CO"/>
        </w:rPr>
        <w:footnoteReference w:id="19"/>
      </w:r>
      <w:r w:rsidR="00E55D70" w:rsidRPr="00A65F4D">
        <w:rPr>
          <w:rFonts w:asciiTheme="majorHAnsi" w:hAnsiTheme="majorHAnsi"/>
          <w:sz w:val="20"/>
          <w:szCs w:val="20"/>
          <w:lang w:val="es-CO"/>
        </w:rPr>
        <w:t>.</w:t>
      </w:r>
    </w:p>
    <w:p w14:paraId="484875D1" w14:textId="77777777" w:rsidR="00E91432" w:rsidRPr="00A65F4D" w:rsidRDefault="00E91432"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s-CO"/>
        </w:rPr>
      </w:pPr>
    </w:p>
    <w:p w14:paraId="3CAA6632" w14:textId="77777777" w:rsidR="00A65F4D" w:rsidRDefault="00365A69"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321D3">
        <w:rPr>
          <w:rFonts w:asciiTheme="majorHAnsi" w:hAnsiTheme="majorHAnsi"/>
          <w:sz w:val="20"/>
          <w:szCs w:val="20"/>
          <w:lang w:val="es-CO"/>
        </w:rPr>
        <w:t>El 11 de diciembre de 1995 la presunta víctima presentó una ampliación de descargos ante el CNM, en la que señaló que su petición de no ser sometido a proceso disciplinario se veía justificada en los principios de legalidad, imparcialidad y presunción de inocencia, y que carecía de antecedentes en la carrera judicial</w:t>
      </w:r>
      <w:r w:rsidRPr="00A321D3">
        <w:rPr>
          <w:rStyle w:val="FootnoteReference"/>
          <w:rFonts w:asciiTheme="majorHAnsi" w:hAnsiTheme="majorHAnsi"/>
          <w:sz w:val="20"/>
          <w:szCs w:val="20"/>
          <w:lang w:val="es-CO"/>
        </w:rPr>
        <w:footnoteReference w:id="20"/>
      </w:r>
      <w:r w:rsidRPr="00A321D3">
        <w:rPr>
          <w:rFonts w:asciiTheme="majorHAnsi" w:hAnsiTheme="majorHAnsi"/>
          <w:sz w:val="20"/>
          <w:szCs w:val="20"/>
          <w:lang w:val="es-CO"/>
        </w:rPr>
        <w:t>.</w:t>
      </w:r>
    </w:p>
    <w:p w14:paraId="701F6866" w14:textId="77777777" w:rsidR="00A65F4D" w:rsidRDefault="00A65F4D"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7FF501E5" w14:textId="52BC2F53" w:rsidR="00A65F4D" w:rsidRDefault="00365A69"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65F4D">
        <w:rPr>
          <w:rFonts w:asciiTheme="majorHAnsi" w:hAnsiTheme="majorHAnsi"/>
          <w:sz w:val="20"/>
          <w:szCs w:val="20"/>
          <w:lang w:val="es-CO"/>
        </w:rPr>
        <w:t>El 14 de mayo de 1996 el CNM emitió resolución No. 051-96-CNM en la que declaró abierto el proceso disciplinario en contra de la presunta víctima</w:t>
      </w:r>
      <w:r w:rsidR="001F606B">
        <w:rPr>
          <w:rFonts w:asciiTheme="majorHAnsi" w:hAnsiTheme="majorHAnsi"/>
          <w:sz w:val="20"/>
          <w:szCs w:val="20"/>
          <w:lang w:val="es-CO"/>
        </w:rPr>
        <w:t xml:space="preserve"> </w:t>
      </w:r>
      <w:r w:rsidR="00A65F4D">
        <w:rPr>
          <w:rFonts w:asciiTheme="majorHAnsi" w:hAnsiTheme="majorHAnsi"/>
          <w:sz w:val="20"/>
          <w:szCs w:val="20"/>
          <w:lang w:val="es-CO"/>
        </w:rPr>
        <w:t xml:space="preserve"> afirmando que:</w:t>
      </w:r>
    </w:p>
    <w:p w14:paraId="75569D4F" w14:textId="24B8C2AA" w:rsidR="00A65F4D" w:rsidRDefault="001F606B" w:rsidP="00975184">
      <w:pPr>
        <w:pStyle w:val="ListParagraph"/>
        <w:tabs>
          <w:tab w:val="left" w:pos="2403"/>
        </w:tabs>
        <w:rPr>
          <w:rFonts w:asciiTheme="majorHAnsi" w:hAnsiTheme="majorHAnsi"/>
          <w:sz w:val="20"/>
          <w:szCs w:val="20"/>
          <w:lang w:val="es-CO"/>
        </w:rPr>
      </w:pPr>
      <w:r>
        <w:rPr>
          <w:rFonts w:asciiTheme="majorHAnsi" w:hAnsiTheme="majorHAnsi"/>
          <w:sz w:val="20"/>
          <w:szCs w:val="20"/>
          <w:lang w:val="es-CO"/>
        </w:rPr>
        <w:tab/>
      </w:r>
    </w:p>
    <w:p w14:paraId="16DDC7ED" w14:textId="77777777" w:rsidR="00583A35" w:rsidRPr="00A65F4D" w:rsidRDefault="00E94F83"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s-CO"/>
        </w:rPr>
      </w:pPr>
      <w:r w:rsidRPr="00A65F4D">
        <w:rPr>
          <w:rFonts w:asciiTheme="majorHAnsi" w:hAnsiTheme="majorHAnsi"/>
          <w:sz w:val="20"/>
          <w:szCs w:val="20"/>
          <w:lang w:val="es-CO"/>
        </w:rPr>
        <w:t>Dr. Héctor Cordero Bernal, Juez Especializado de Huánuco y Pasco, imputándosele graves irregularidades en el ejercicio de sus funciones, disponiendo, además la suspensión de dicho Magistrado hasta que el Consejo Nacional de la Magistratura decida sobre la aplicación de la medida disciplinaria solicitada</w:t>
      </w:r>
      <w:r w:rsidR="00365A69" w:rsidRPr="00A321D3">
        <w:rPr>
          <w:rStyle w:val="FootnoteReference"/>
          <w:rFonts w:asciiTheme="majorHAnsi" w:hAnsiTheme="majorHAnsi"/>
          <w:sz w:val="20"/>
          <w:szCs w:val="20"/>
          <w:lang w:val="es-CO"/>
        </w:rPr>
        <w:footnoteReference w:id="21"/>
      </w:r>
      <w:r w:rsidR="00365A69" w:rsidRPr="00A65F4D">
        <w:rPr>
          <w:rFonts w:asciiTheme="majorHAnsi" w:hAnsiTheme="majorHAnsi"/>
          <w:sz w:val="20"/>
          <w:szCs w:val="20"/>
          <w:lang w:val="es-CO"/>
        </w:rPr>
        <w:t xml:space="preserve">. </w:t>
      </w:r>
      <w:r w:rsidRPr="00A65F4D">
        <w:rPr>
          <w:rFonts w:asciiTheme="majorHAnsi" w:hAnsiTheme="majorHAnsi"/>
          <w:sz w:val="20"/>
          <w:szCs w:val="20"/>
          <w:lang w:val="es-CO"/>
        </w:rPr>
        <w:t xml:space="preserve"> </w:t>
      </w:r>
    </w:p>
    <w:p w14:paraId="554B9C0C" w14:textId="77777777" w:rsidR="00A65F4D" w:rsidRDefault="00A65F4D"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50AE671A" w14:textId="77777777" w:rsidR="00A65F4D" w:rsidRDefault="00365A69"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321D3">
        <w:rPr>
          <w:rFonts w:asciiTheme="majorHAnsi" w:hAnsiTheme="majorHAnsi"/>
          <w:sz w:val="20"/>
          <w:szCs w:val="20"/>
          <w:lang w:val="es-CO"/>
        </w:rPr>
        <w:t>El 27 de mayo de 1996 la presunta víctima presentó escrito de descargos</w:t>
      </w:r>
      <w:r w:rsidRPr="00A321D3">
        <w:rPr>
          <w:rStyle w:val="FootnoteReference"/>
          <w:rFonts w:asciiTheme="majorHAnsi" w:hAnsiTheme="majorHAnsi"/>
          <w:sz w:val="20"/>
          <w:szCs w:val="20"/>
          <w:lang w:val="es-CO"/>
        </w:rPr>
        <w:footnoteReference w:id="22"/>
      </w:r>
      <w:r w:rsidRPr="00A321D3">
        <w:rPr>
          <w:rFonts w:asciiTheme="majorHAnsi" w:hAnsiTheme="majorHAnsi"/>
          <w:sz w:val="20"/>
          <w:szCs w:val="20"/>
          <w:lang w:val="es-CO"/>
        </w:rPr>
        <w:t>. Argumentó que la decisión investigada fue un acto de estricta naturaleza jurisdiccional que debe ser observado en concordancia con el artículo 139 inciso 2 de la Constitución Política peruana sobre independencia en el ejercicio de la función jurisdiccional</w:t>
      </w:r>
      <w:r w:rsidRPr="00A321D3">
        <w:rPr>
          <w:rStyle w:val="FootnoteReference"/>
          <w:rFonts w:asciiTheme="majorHAnsi" w:hAnsiTheme="majorHAnsi"/>
          <w:sz w:val="20"/>
          <w:szCs w:val="20"/>
          <w:lang w:val="es-CO"/>
        </w:rPr>
        <w:footnoteReference w:id="23"/>
      </w:r>
      <w:r w:rsidRPr="00A321D3">
        <w:rPr>
          <w:rFonts w:asciiTheme="majorHAnsi" w:hAnsiTheme="majorHAnsi"/>
          <w:sz w:val="20"/>
          <w:szCs w:val="20"/>
          <w:lang w:val="es-CO"/>
        </w:rPr>
        <w:t>. Nuevamente hizo referencia a la decisión final en el proceso penal por tráfico ilícito de drogas, en la que se determinó la irresponsabilidad de los procesados, argumentando que este hecho probaba que su decisión fue concordante</w:t>
      </w:r>
      <w:r w:rsidRPr="00A321D3">
        <w:rPr>
          <w:rStyle w:val="FootnoteReference"/>
          <w:rFonts w:asciiTheme="majorHAnsi" w:hAnsiTheme="majorHAnsi"/>
          <w:sz w:val="20"/>
          <w:szCs w:val="20"/>
          <w:lang w:val="es-CO"/>
        </w:rPr>
        <w:footnoteReference w:id="24"/>
      </w:r>
      <w:r w:rsidRPr="00A321D3">
        <w:rPr>
          <w:rFonts w:asciiTheme="majorHAnsi" w:hAnsiTheme="majorHAnsi"/>
          <w:sz w:val="20"/>
          <w:szCs w:val="20"/>
          <w:lang w:val="es-CO"/>
        </w:rPr>
        <w:t xml:space="preserve">. </w:t>
      </w:r>
      <w:r w:rsidR="00572FF7" w:rsidRPr="00A321D3">
        <w:rPr>
          <w:rFonts w:asciiTheme="majorHAnsi" w:hAnsiTheme="majorHAnsi"/>
          <w:sz w:val="20"/>
          <w:szCs w:val="20"/>
          <w:lang w:val="es-CO"/>
        </w:rPr>
        <w:t xml:space="preserve"> </w:t>
      </w:r>
    </w:p>
    <w:p w14:paraId="4DB63C1E" w14:textId="77777777" w:rsidR="00A65F4D" w:rsidRDefault="00A65F4D"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632D2569" w14:textId="77777777" w:rsidR="00A65F4D" w:rsidRDefault="00365A69"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65F4D">
        <w:rPr>
          <w:rFonts w:asciiTheme="majorHAnsi" w:hAnsiTheme="majorHAnsi"/>
          <w:sz w:val="20"/>
          <w:szCs w:val="20"/>
          <w:lang w:val="es-CO"/>
        </w:rPr>
        <w:t>El 14 de agosto de 1996 el CNM emitió la Resolución No. 008-96-PCNM en la que ordenó la destitución del señor Cordero Bernal, disponiendo la cancelación del nombramiento y la insc</w:t>
      </w:r>
      <w:r w:rsidR="0050548F" w:rsidRPr="00A65F4D">
        <w:rPr>
          <w:rFonts w:asciiTheme="majorHAnsi" w:hAnsiTheme="majorHAnsi"/>
          <w:sz w:val="20"/>
          <w:szCs w:val="20"/>
          <w:lang w:val="es-CO"/>
        </w:rPr>
        <w:t>ripción de la misma en el libro</w:t>
      </w:r>
      <w:r w:rsidRPr="00A65F4D">
        <w:rPr>
          <w:rFonts w:asciiTheme="majorHAnsi" w:hAnsiTheme="majorHAnsi"/>
          <w:sz w:val="20"/>
          <w:szCs w:val="20"/>
          <w:lang w:val="es-CO"/>
        </w:rPr>
        <w:t xml:space="preserve"> y en el legajo personal respectivos</w:t>
      </w:r>
      <w:r w:rsidRPr="00A321D3">
        <w:rPr>
          <w:rStyle w:val="FootnoteReference"/>
          <w:rFonts w:asciiTheme="majorHAnsi" w:hAnsiTheme="majorHAnsi"/>
          <w:sz w:val="20"/>
          <w:szCs w:val="20"/>
          <w:lang w:val="es-CO"/>
        </w:rPr>
        <w:footnoteReference w:id="25"/>
      </w:r>
      <w:r w:rsidRPr="00A65F4D">
        <w:rPr>
          <w:rFonts w:asciiTheme="majorHAnsi" w:hAnsiTheme="majorHAnsi"/>
          <w:sz w:val="20"/>
          <w:szCs w:val="20"/>
          <w:lang w:val="es-CO"/>
        </w:rPr>
        <w:t>. En dicha decisión, el CNM argumentó que</w:t>
      </w:r>
      <w:r w:rsidR="00A66A0A" w:rsidRPr="00A65F4D">
        <w:rPr>
          <w:rFonts w:asciiTheme="majorHAnsi" w:hAnsiTheme="majorHAnsi"/>
          <w:sz w:val="20"/>
          <w:szCs w:val="20"/>
          <w:lang w:val="es-CO"/>
        </w:rPr>
        <w:t>:</w:t>
      </w:r>
    </w:p>
    <w:p w14:paraId="5601172B" w14:textId="77777777" w:rsidR="00A65F4D" w:rsidRDefault="00A65F4D" w:rsidP="00975184">
      <w:pPr>
        <w:pStyle w:val="ListParagraph"/>
        <w:rPr>
          <w:rFonts w:asciiTheme="majorHAnsi" w:hAnsiTheme="majorHAnsi"/>
          <w:sz w:val="20"/>
          <w:szCs w:val="20"/>
          <w:lang w:val="es-CO"/>
        </w:rPr>
      </w:pPr>
    </w:p>
    <w:p w14:paraId="02E2A74A" w14:textId="717EC64D" w:rsidR="00365A69" w:rsidRPr="00A65F4D" w:rsidRDefault="00C73843"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s-CO"/>
        </w:rPr>
      </w:pPr>
      <w:r>
        <w:rPr>
          <w:rFonts w:asciiTheme="majorHAnsi" w:hAnsiTheme="majorHAnsi"/>
          <w:sz w:val="20"/>
          <w:szCs w:val="20"/>
          <w:lang w:val="es-CO"/>
        </w:rPr>
        <w:t>L</w:t>
      </w:r>
      <w:r w:rsidR="00365A69" w:rsidRPr="00A65F4D">
        <w:rPr>
          <w:rFonts w:asciiTheme="majorHAnsi" w:hAnsiTheme="majorHAnsi"/>
          <w:sz w:val="20"/>
          <w:szCs w:val="20"/>
          <w:lang w:val="es-CO"/>
        </w:rPr>
        <w:t>a irregularidad que se detecta en el presente caso es la irracionalidad de la resolución concesoria de la libertad, esto es, la imposibilidad de encontrar un sustento de sentido co</w:t>
      </w:r>
      <w:r w:rsidR="00CA5CED" w:rsidRPr="00A65F4D">
        <w:rPr>
          <w:rFonts w:asciiTheme="majorHAnsi" w:hAnsiTheme="majorHAnsi"/>
          <w:sz w:val="20"/>
          <w:szCs w:val="20"/>
          <w:lang w:val="es-CO"/>
        </w:rPr>
        <w:t xml:space="preserve">mún y menos de sentido jurídico </w:t>
      </w:r>
      <w:r w:rsidR="00365A69" w:rsidRPr="00A65F4D">
        <w:rPr>
          <w:rFonts w:asciiTheme="majorHAnsi" w:hAnsiTheme="majorHAnsi"/>
          <w:sz w:val="20"/>
          <w:szCs w:val="20"/>
          <w:lang w:val="es-CO"/>
        </w:rPr>
        <w:t>que son las exigencias mínimas o elementales del ejercicio de la función jurisdiccional</w:t>
      </w:r>
      <w:r w:rsidR="00365A69" w:rsidRPr="00A321D3">
        <w:rPr>
          <w:rStyle w:val="FootnoteReference"/>
          <w:rFonts w:asciiTheme="majorHAnsi" w:hAnsiTheme="majorHAnsi"/>
          <w:sz w:val="20"/>
          <w:szCs w:val="20"/>
          <w:lang w:val="es-CO"/>
        </w:rPr>
        <w:footnoteReference w:id="26"/>
      </w:r>
      <w:r w:rsidR="00365A69" w:rsidRPr="00A65F4D">
        <w:rPr>
          <w:rFonts w:asciiTheme="majorHAnsi" w:hAnsiTheme="majorHAnsi"/>
          <w:sz w:val="20"/>
          <w:szCs w:val="20"/>
          <w:lang w:val="es-CO"/>
        </w:rPr>
        <w:t>. Asimismo, indicó que el auto que concedió la libertad incondicional fue revocado por la Sala Penal, disponiendo la recaptura de los inculpados y que ésta se abstuvo de sancionar disciplinariamente al señor Cordero Bernal, por encontrarse en trámite la investigación abierta por la Oficina de Control de la Magistratura</w:t>
      </w:r>
      <w:r w:rsidR="00365A69" w:rsidRPr="00A321D3">
        <w:rPr>
          <w:rStyle w:val="FootnoteReference"/>
          <w:rFonts w:asciiTheme="majorHAnsi" w:hAnsiTheme="majorHAnsi"/>
          <w:sz w:val="20"/>
          <w:szCs w:val="20"/>
          <w:lang w:val="es-CO"/>
        </w:rPr>
        <w:footnoteReference w:id="27"/>
      </w:r>
      <w:r w:rsidR="00365A69" w:rsidRPr="00A65F4D">
        <w:rPr>
          <w:rFonts w:asciiTheme="majorHAnsi" w:hAnsiTheme="majorHAnsi"/>
          <w:sz w:val="20"/>
          <w:szCs w:val="20"/>
          <w:lang w:val="es-CO"/>
        </w:rPr>
        <w:t xml:space="preserve">. </w:t>
      </w:r>
      <w:r w:rsidR="00A66A0A" w:rsidRPr="00A65F4D">
        <w:rPr>
          <w:rFonts w:asciiTheme="majorHAnsi" w:hAnsiTheme="majorHAnsi"/>
          <w:sz w:val="20"/>
          <w:szCs w:val="20"/>
          <w:lang w:val="es-CO"/>
        </w:rPr>
        <w:t xml:space="preserve">(…) </w:t>
      </w:r>
      <w:r w:rsidR="00365A69" w:rsidRPr="00A65F4D">
        <w:rPr>
          <w:rFonts w:asciiTheme="majorHAnsi" w:hAnsiTheme="majorHAnsi"/>
          <w:sz w:val="20"/>
          <w:szCs w:val="20"/>
          <w:lang w:val="es-CO"/>
        </w:rPr>
        <w:t>Finalmente, el CNM concluyó que “respetados los principios del debido proceso, llega a la convicción de que la conducta del magistrado es pasible de sanción disciplinaria por que (sic) en la concesión prematura de la libertad incondicional que otorgó, no se encuentra sustento racional alguno y esa conducta es típica y, además, grave y por ello coincidente con el supuesto del artículo treintiuno, inciso segundo, de la Ley número veintiséis mil trescientos noventisiete, es decir, un hecho grave que sin ser delito compromete la dignidad del cargo y la d</w:t>
      </w:r>
      <w:r w:rsidR="00583A35" w:rsidRPr="00A65F4D">
        <w:rPr>
          <w:rFonts w:asciiTheme="majorHAnsi" w:hAnsiTheme="majorHAnsi"/>
          <w:sz w:val="20"/>
          <w:szCs w:val="20"/>
          <w:lang w:val="es-CO"/>
        </w:rPr>
        <w:t>esmerece en el concepto público</w:t>
      </w:r>
      <w:r w:rsidR="00365A69" w:rsidRPr="00A321D3">
        <w:rPr>
          <w:rStyle w:val="FootnoteReference"/>
          <w:rFonts w:asciiTheme="majorHAnsi" w:hAnsiTheme="majorHAnsi"/>
          <w:sz w:val="20"/>
          <w:szCs w:val="20"/>
          <w:lang w:val="es-CO"/>
        </w:rPr>
        <w:footnoteReference w:id="28"/>
      </w:r>
      <w:r w:rsidR="00365A69" w:rsidRPr="00A65F4D">
        <w:rPr>
          <w:rFonts w:asciiTheme="majorHAnsi" w:hAnsiTheme="majorHAnsi"/>
          <w:sz w:val="20"/>
          <w:szCs w:val="20"/>
          <w:lang w:val="es-CO"/>
        </w:rPr>
        <w:t>.</w:t>
      </w:r>
    </w:p>
    <w:p w14:paraId="4C386D1E" w14:textId="77777777" w:rsidR="00A65F4D" w:rsidRDefault="00A65F4D"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2BBEEA53" w14:textId="77777777" w:rsidR="00A65F4D" w:rsidRDefault="00365A69"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321D3">
        <w:rPr>
          <w:rFonts w:asciiTheme="majorHAnsi" w:hAnsiTheme="majorHAnsi"/>
          <w:sz w:val="20"/>
          <w:szCs w:val="20"/>
          <w:lang w:val="es-CO"/>
        </w:rPr>
        <w:t>El 6 de septiembre de 1996 el señor Cordero Bernal presentó demanda de acción de amparo contra el Consejo Nacional de la Magistratura a fin de que se declarara la nulidad de la anterior resolución</w:t>
      </w:r>
      <w:r w:rsidRPr="00A321D3">
        <w:rPr>
          <w:rStyle w:val="FootnoteReference"/>
          <w:rFonts w:asciiTheme="majorHAnsi" w:hAnsiTheme="majorHAnsi"/>
          <w:sz w:val="20"/>
          <w:szCs w:val="20"/>
          <w:lang w:val="es-CO"/>
        </w:rPr>
        <w:footnoteReference w:id="29"/>
      </w:r>
      <w:r w:rsidRPr="00A321D3">
        <w:rPr>
          <w:rFonts w:asciiTheme="majorHAnsi" w:hAnsiTheme="majorHAnsi"/>
          <w:sz w:val="20"/>
          <w:szCs w:val="20"/>
          <w:lang w:val="es-CO"/>
        </w:rPr>
        <w:t>. Argumentó que pese a que la Ley 26397 y la Constitución Política disponen que no son impugnables las decisiones del CNM, sí procede la acción de amparo cuando, como en su caso, se viola el derecho fundamental al debido proceso</w:t>
      </w:r>
      <w:r w:rsidRPr="00A321D3">
        <w:rPr>
          <w:rStyle w:val="FootnoteReference"/>
          <w:rFonts w:asciiTheme="majorHAnsi" w:hAnsiTheme="majorHAnsi"/>
          <w:sz w:val="20"/>
          <w:szCs w:val="20"/>
          <w:lang w:val="es-CO"/>
        </w:rPr>
        <w:footnoteReference w:id="30"/>
      </w:r>
      <w:r w:rsidRPr="00A321D3">
        <w:rPr>
          <w:rFonts w:asciiTheme="majorHAnsi" w:hAnsiTheme="majorHAnsi"/>
          <w:sz w:val="20"/>
          <w:szCs w:val="20"/>
          <w:lang w:val="es-CO"/>
        </w:rPr>
        <w:t>. En este sentido, indicó que la resolución violó el artículo 154 inciso 3 de la Constitución Política peruana puesto que la única</w:t>
      </w:r>
      <w:r w:rsidR="0050548F" w:rsidRPr="00A321D3">
        <w:rPr>
          <w:rFonts w:asciiTheme="majorHAnsi" w:hAnsiTheme="majorHAnsi"/>
          <w:sz w:val="20"/>
          <w:szCs w:val="20"/>
          <w:lang w:val="es-CO"/>
        </w:rPr>
        <w:t xml:space="preserve"> motivación alegada por el CNM fue la </w:t>
      </w:r>
      <w:r w:rsidRPr="00A321D3">
        <w:rPr>
          <w:rFonts w:asciiTheme="majorHAnsi" w:hAnsiTheme="majorHAnsi"/>
          <w:sz w:val="20"/>
          <w:szCs w:val="20"/>
          <w:lang w:val="es-CO"/>
        </w:rPr>
        <w:t>“irracionalidad de la resolución concesoria de la libertad”</w:t>
      </w:r>
      <w:r w:rsidRPr="00A321D3">
        <w:rPr>
          <w:rStyle w:val="FootnoteReference"/>
          <w:rFonts w:asciiTheme="majorHAnsi" w:hAnsiTheme="majorHAnsi"/>
          <w:sz w:val="20"/>
          <w:szCs w:val="20"/>
          <w:lang w:val="es-CO"/>
        </w:rPr>
        <w:footnoteReference w:id="31"/>
      </w:r>
      <w:r w:rsidRPr="00A321D3">
        <w:rPr>
          <w:rFonts w:asciiTheme="majorHAnsi" w:hAnsiTheme="majorHAnsi"/>
          <w:sz w:val="20"/>
          <w:szCs w:val="20"/>
          <w:lang w:val="es-CO"/>
        </w:rPr>
        <w:t xml:space="preserve">. </w:t>
      </w:r>
    </w:p>
    <w:p w14:paraId="56303523" w14:textId="77777777" w:rsidR="00A65F4D" w:rsidRDefault="00A65F4D"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12736865" w14:textId="219D8EBE" w:rsidR="00A65F4D" w:rsidRDefault="00365A69"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65F4D">
        <w:rPr>
          <w:rFonts w:asciiTheme="majorHAnsi" w:hAnsiTheme="majorHAnsi"/>
          <w:sz w:val="20"/>
          <w:szCs w:val="20"/>
          <w:lang w:val="es-CO"/>
        </w:rPr>
        <w:t>Asimismo, alegó que se violaron las garantías de estabilidad de los magistrados consagradas en el artículo 146 inciso 3 de la Constitución; así como los artículos 211 de la Ley Orgánica del Poder Judicial que dispone que la destitución procede “siempre y cuando haya sido sancionado con suspensión anteriormente”, y 212 de la misma ley, que señala que “no da lugar a sanción la discrepancia de opinión ni de criterio en la resolución de los procesos”</w:t>
      </w:r>
      <w:r w:rsidRPr="00A321D3">
        <w:rPr>
          <w:rStyle w:val="FootnoteReference"/>
          <w:rFonts w:asciiTheme="majorHAnsi" w:hAnsiTheme="majorHAnsi"/>
          <w:sz w:val="20"/>
          <w:szCs w:val="20"/>
          <w:lang w:val="es-CO"/>
        </w:rPr>
        <w:footnoteReference w:id="32"/>
      </w:r>
      <w:r w:rsidRPr="00A65F4D">
        <w:rPr>
          <w:rFonts w:asciiTheme="majorHAnsi" w:hAnsiTheme="majorHAnsi"/>
          <w:sz w:val="20"/>
          <w:szCs w:val="20"/>
          <w:lang w:val="es-CO"/>
        </w:rPr>
        <w:t>. Finalmente argumentó que las pruebas demostraban su buena conducta y desempeño del cargo con corr</w:t>
      </w:r>
      <w:r w:rsidR="00534D67" w:rsidRPr="00A65F4D">
        <w:rPr>
          <w:rFonts w:asciiTheme="majorHAnsi" w:hAnsiTheme="majorHAnsi"/>
          <w:sz w:val="20"/>
          <w:szCs w:val="20"/>
          <w:lang w:val="es-CO"/>
        </w:rPr>
        <w:t>ección y honestidad y que</w:t>
      </w:r>
      <w:r w:rsidRPr="00A65F4D">
        <w:rPr>
          <w:rFonts w:asciiTheme="majorHAnsi" w:hAnsiTheme="majorHAnsi"/>
          <w:sz w:val="20"/>
          <w:szCs w:val="20"/>
          <w:lang w:val="es-CO"/>
        </w:rPr>
        <w:t xml:space="preserve"> la libertad incondicional concedida estaba basada en la verdad legal y en los principios de humanidad procesal</w:t>
      </w:r>
      <w:r w:rsidRPr="00A321D3">
        <w:rPr>
          <w:rStyle w:val="FootnoteReference"/>
          <w:rFonts w:asciiTheme="majorHAnsi" w:hAnsiTheme="majorHAnsi"/>
          <w:sz w:val="20"/>
          <w:szCs w:val="20"/>
          <w:lang w:val="es-CO"/>
        </w:rPr>
        <w:footnoteReference w:id="33"/>
      </w:r>
      <w:r w:rsidR="00BB146F">
        <w:rPr>
          <w:rFonts w:asciiTheme="majorHAnsi" w:hAnsiTheme="majorHAnsi"/>
          <w:sz w:val="20"/>
          <w:szCs w:val="20"/>
          <w:lang w:val="es-CO"/>
        </w:rPr>
        <w:t>.</w:t>
      </w:r>
    </w:p>
    <w:p w14:paraId="707894A6" w14:textId="1405E886" w:rsidR="00A65F4D" w:rsidRDefault="00BB146F" w:rsidP="00975184">
      <w:pPr>
        <w:pStyle w:val="ListParagraph"/>
        <w:tabs>
          <w:tab w:val="left" w:pos="3123"/>
        </w:tabs>
        <w:rPr>
          <w:rFonts w:asciiTheme="majorHAnsi" w:hAnsiTheme="majorHAnsi"/>
          <w:sz w:val="20"/>
          <w:szCs w:val="20"/>
          <w:lang w:val="es-CO"/>
        </w:rPr>
      </w:pPr>
      <w:r>
        <w:rPr>
          <w:rFonts w:asciiTheme="majorHAnsi" w:hAnsiTheme="majorHAnsi"/>
          <w:sz w:val="20"/>
          <w:szCs w:val="20"/>
          <w:lang w:val="es-CO"/>
        </w:rPr>
        <w:tab/>
      </w:r>
    </w:p>
    <w:p w14:paraId="5CEB99B7" w14:textId="6C5CF238" w:rsidR="00A65F4D" w:rsidRDefault="00365A69"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65F4D">
        <w:rPr>
          <w:rFonts w:asciiTheme="majorHAnsi" w:hAnsiTheme="majorHAnsi"/>
          <w:sz w:val="20"/>
          <w:szCs w:val="20"/>
          <w:lang w:val="es-CO"/>
        </w:rPr>
        <w:t>El 27 de noviembre de 1996 el Juzgado de Derecho Público emitió sentencia de primera instancia declarando improcedente la acción de amparo, al considerar que la resolución del CNM realizó un amplio examen de lo actuado y su decisión fue suficientemente motivada, razón que impide el análisis de fondo de los demás argumentos puesto que no existió violación alguna a las normas del debido proceso</w:t>
      </w:r>
      <w:r w:rsidRPr="00A321D3">
        <w:rPr>
          <w:rStyle w:val="FootnoteReference"/>
          <w:rFonts w:asciiTheme="majorHAnsi" w:hAnsiTheme="majorHAnsi"/>
          <w:sz w:val="20"/>
          <w:szCs w:val="20"/>
          <w:lang w:val="es-CO"/>
        </w:rPr>
        <w:footnoteReference w:id="34"/>
      </w:r>
      <w:r w:rsidRPr="00A65F4D">
        <w:rPr>
          <w:rFonts w:asciiTheme="majorHAnsi" w:hAnsiTheme="majorHAnsi"/>
          <w:sz w:val="20"/>
          <w:szCs w:val="20"/>
          <w:lang w:val="es-CO"/>
        </w:rPr>
        <w:t xml:space="preserve">. </w:t>
      </w:r>
      <w:r w:rsidR="00A65F4D">
        <w:rPr>
          <w:rFonts w:asciiTheme="majorHAnsi" w:hAnsiTheme="majorHAnsi"/>
          <w:sz w:val="20"/>
          <w:szCs w:val="20"/>
          <w:lang w:val="es-CO"/>
        </w:rPr>
        <w:t xml:space="preserve"> En particular se indica</w:t>
      </w:r>
      <w:r w:rsidR="00BB146F">
        <w:rPr>
          <w:rFonts w:asciiTheme="majorHAnsi" w:hAnsiTheme="majorHAnsi"/>
          <w:sz w:val="20"/>
          <w:szCs w:val="20"/>
          <w:lang w:val="es-CO"/>
        </w:rPr>
        <w:t>:</w:t>
      </w:r>
    </w:p>
    <w:p w14:paraId="5574F398" w14:textId="77777777" w:rsidR="00A65F4D" w:rsidRDefault="00A65F4D" w:rsidP="00975184">
      <w:pPr>
        <w:pStyle w:val="ListParagraph"/>
        <w:rPr>
          <w:rFonts w:asciiTheme="majorHAnsi" w:hAnsiTheme="majorHAnsi"/>
          <w:sz w:val="20"/>
          <w:szCs w:val="20"/>
          <w:lang w:val="es-CO"/>
        </w:rPr>
      </w:pPr>
    </w:p>
    <w:p w14:paraId="02B20090" w14:textId="77777777" w:rsidR="00846F83" w:rsidRPr="00A65F4D" w:rsidRDefault="00846F83"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s-CO"/>
        </w:rPr>
      </w:pPr>
      <w:r w:rsidRPr="00A65F4D">
        <w:rPr>
          <w:rFonts w:asciiTheme="majorHAnsi" w:hAnsiTheme="majorHAnsi"/>
          <w:sz w:val="20"/>
          <w:szCs w:val="20"/>
          <w:lang w:val="es-CO"/>
        </w:rPr>
        <w:t>La resolución del Consejo Nacional de la Magistratura que destituye al accionante es caso no revisable en sede judicial por haberse expedido sin afectar en nada las normas del debido proceso por lo que no cabe ya que este Juzgado se pronuncie sobre los otros dos argumentos de la demanda, desde que ello exigiría una revisión sobre el fondo que deviene improcedente conforme a lo expuesto hasta el momento (...)</w:t>
      </w:r>
      <w:r w:rsidRPr="00A321D3">
        <w:rPr>
          <w:rStyle w:val="FootnoteReference"/>
          <w:rFonts w:asciiTheme="majorHAnsi" w:hAnsiTheme="majorHAnsi"/>
          <w:sz w:val="20"/>
          <w:szCs w:val="20"/>
          <w:lang w:val="es-CO"/>
        </w:rPr>
        <w:footnoteReference w:id="35"/>
      </w:r>
      <w:r w:rsidRPr="00A65F4D">
        <w:rPr>
          <w:rFonts w:asciiTheme="majorHAnsi" w:hAnsiTheme="majorHAnsi"/>
          <w:sz w:val="20"/>
          <w:szCs w:val="20"/>
          <w:lang w:val="es-CO"/>
        </w:rPr>
        <w:t>.</w:t>
      </w:r>
    </w:p>
    <w:p w14:paraId="01CC4ED6" w14:textId="77777777" w:rsidR="00A65F4D" w:rsidRDefault="00A65F4D"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15F915E7" w14:textId="122F01F9" w:rsidR="00A65F4D" w:rsidRDefault="00365A69"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321D3">
        <w:rPr>
          <w:rFonts w:asciiTheme="majorHAnsi" w:hAnsiTheme="majorHAnsi"/>
          <w:sz w:val="20"/>
          <w:szCs w:val="20"/>
          <w:lang w:val="es-CO"/>
        </w:rPr>
        <w:t xml:space="preserve">La decisión anterior fue apelada por el </w:t>
      </w:r>
      <w:r w:rsidR="00BB146F">
        <w:rPr>
          <w:rFonts w:asciiTheme="majorHAnsi" w:hAnsiTheme="majorHAnsi"/>
          <w:sz w:val="20"/>
          <w:szCs w:val="20"/>
          <w:lang w:val="es-CO"/>
        </w:rPr>
        <w:t xml:space="preserve">señor </w:t>
      </w:r>
      <w:r w:rsidRPr="00A321D3">
        <w:rPr>
          <w:rFonts w:asciiTheme="majorHAnsi" w:hAnsiTheme="majorHAnsi"/>
          <w:sz w:val="20"/>
          <w:szCs w:val="20"/>
          <w:lang w:val="es-CO"/>
        </w:rPr>
        <w:t xml:space="preserve">Cordero Bernal. La Comisión no cuenta con información sobre dicho recurso. </w:t>
      </w:r>
    </w:p>
    <w:p w14:paraId="0FCA0533" w14:textId="77777777" w:rsidR="00A65F4D" w:rsidRDefault="00A65F4D"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33D6963A" w14:textId="77777777" w:rsidR="001050CB" w:rsidRDefault="001050CB"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4A4DFF8B" w14:textId="77777777" w:rsidR="001050CB" w:rsidRDefault="001050CB"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2D51547C" w14:textId="77777777" w:rsidR="001050CB" w:rsidRDefault="001050CB"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54362FEA" w14:textId="794EF834" w:rsidR="00CF17D4" w:rsidRDefault="00365A69"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65F4D">
        <w:rPr>
          <w:rFonts w:asciiTheme="majorHAnsi" w:hAnsiTheme="majorHAnsi"/>
          <w:sz w:val="20"/>
          <w:szCs w:val="20"/>
          <w:lang w:val="es-CO"/>
        </w:rPr>
        <w:t>El 24 de septiembre de 1997 la Sala Corporativa Transitoria Especializada de Derecho Público emitió sentencia de segunda instancia confirmando la decisión anterior</w:t>
      </w:r>
      <w:r w:rsidRPr="00A321D3">
        <w:rPr>
          <w:rStyle w:val="FootnoteReference"/>
          <w:rFonts w:asciiTheme="majorHAnsi" w:hAnsiTheme="majorHAnsi"/>
          <w:sz w:val="20"/>
          <w:szCs w:val="20"/>
          <w:lang w:val="es-CO"/>
        </w:rPr>
        <w:footnoteReference w:id="36"/>
      </w:r>
      <w:r w:rsidRPr="00A65F4D">
        <w:rPr>
          <w:rFonts w:asciiTheme="majorHAnsi" w:hAnsiTheme="majorHAnsi"/>
          <w:sz w:val="20"/>
          <w:szCs w:val="20"/>
          <w:lang w:val="es-CO"/>
        </w:rPr>
        <w:t>. Estimó que el artículo 142 de la Constitución peruana señala que no son revisables en sede judicial las resoluciones del CNM en materia de evaluación y ratificación de jueces</w:t>
      </w:r>
      <w:r w:rsidR="00F771F0" w:rsidRPr="00A65F4D">
        <w:rPr>
          <w:rFonts w:asciiTheme="majorHAnsi" w:hAnsiTheme="majorHAnsi"/>
          <w:sz w:val="20"/>
          <w:szCs w:val="20"/>
          <w:lang w:val="es-CO"/>
        </w:rPr>
        <w:t xml:space="preserve"> y agregó que “en el presente caso ante el pedido de la Oficina de Control de la Magistratura del P</w:t>
      </w:r>
      <w:r w:rsidR="00533EE5" w:rsidRPr="00A65F4D">
        <w:rPr>
          <w:rFonts w:asciiTheme="majorHAnsi" w:hAnsiTheme="majorHAnsi"/>
          <w:sz w:val="20"/>
          <w:szCs w:val="20"/>
          <w:lang w:val="es-CO"/>
        </w:rPr>
        <w:t>oder Judicial, el Consejo Ejecutivo del (sic) este Poder del Estado solicita al Consejo Nacional de la Magistratura la destitución del Juez Provisional del Cuarto Juzgado Especializado en lo Penal de Huánuco, Héctor Fidel Cordero Ber</w:t>
      </w:r>
      <w:r w:rsidR="00CA5CED" w:rsidRPr="00A65F4D">
        <w:rPr>
          <w:rFonts w:asciiTheme="majorHAnsi" w:hAnsiTheme="majorHAnsi"/>
          <w:sz w:val="20"/>
          <w:szCs w:val="20"/>
          <w:lang w:val="es-CO"/>
        </w:rPr>
        <w:t>nal, por lo tanto su perma</w:t>
      </w:r>
      <w:r w:rsidR="00533EE5" w:rsidRPr="00A65F4D">
        <w:rPr>
          <w:rFonts w:asciiTheme="majorHAnsi" w:hAnsiTheme="majorHAnsi"/>
          <w:sz w:val="20"/>
          <w:szCs w:val="20"/>
          <w:lang w:val="es-CO"/>
        </w:rPr>
        <w:t>n</w:t>
      </w:r>
      <w:r w:rsidR="00CA5CED" w:rsidRPr="00A65F4D">
        <w:rPr>
          <w:rFonts w:asciiTheme="majorHAnsi" w:hAnsiTheme="majorHAnsi"/>
          <w:sz w:val="20"/>
          <w:szCs w:val="20"/>
          <w:lang w:val="es-CO"/>
        </w:rPr>
        <w:t>e</w:t>
      </w:r>
      <w:r w:rsidR="00533EE5" w:rsidRPr="00A65F4D">
        <w:rPr>
          <w:rFonts w:asciiTheme="majorHAnsi" w:hAnsiTheme="majorHAnsi"/>
          <w:sz w:val="20"/>
          <w:szCs w:val="20"/>
          <w:lang w:val="es-CO"/>
        </w:rPr>
        <w:t>n</w:t>
      </w:r>
      <w:r w:rsidR="0050548F" w:rsidRPr="00A65F4D">
        <w:rPr>
          <w:rFonts w:asciiTheme="majorHAnsi" w:hAnsiTheme="majorHAnsi"/>
          <w:sz w:val="20"/>
          <w:szCs w:val="20"/>
          <w:lang w:val="es-CO"/>
        </w:rPr>
        <w:t>c</w:t>
      </w:r>
      <w:r w:rsidR="00533EE5" w:rsidRPr="00A65F4D">
        <w:rPr>
          <w:rFonts w:asciiTheme="majorHAnsi" w:hAnsiTheme="majorHAnsi"/>
          <w:sz w:val="20"/>
          <w:szCs w:val="20"/>
          <w:lang w:val="es-CO"/>
        </w:rPr>
        <w:t xml:space="preserve">ia en dicho cargo </w:t>
      </w:r>
      <w:r w:rsidR="009D05C6" w:rsidRPr="00A65F4D">
        <w:rPr>
          <w:rFonts w:asciiTheme="majorHAnsi" w:hAnsiTheme="majorHAnsi"/>
          <w:sz w:val="20"/>
          <w:szCs w:val="20"/>
          <w:lang w:val="es-CO"/>
        </w:rPr>
        <w:t>dependía</w:t>
      </w:r>
      <w:r w:rsidR="00533EE5" w:rsidRPr="00A65F4D">
        <w:rPr>
          <w:rFonts w:asciiTheme="majorHAnsi" w:hAnsiTheme="majorHAnsi"/>
          <w:sz w:val="20"/>
          <w:szCs w:val="20"/>
          <w:lang w:val="es-CO"/>
        </w:rPr>
        <w:t xml:space="preserve"> de la ratificación del Consejo Nacional de la Magistratura, lo que no sucedió (…)</w:t>
      </w:r>
      <w:r w:rsidRPr="00A321D3">
        <w:rPr>
          <w:rStyle w:val="FootnoteReference"/>
          <w:rFonts w:asciiTheme="majorHAnsi" w:hAnsiTheme="majorHAnsi"/>
          <w:sz w:val="20"/>
          <w:szCs w:val="20"/>
          <w:lang w:val="es-CO"/>
        </w:rPr>
        <w:footnoteReference w:id="37"/>
      </w:r>
      <w:r w:rsidRPr="00A65F4D">
        <w:rPr>
          <w:rFonts w:asciiTheme="majorHAnsi" w:hAnsiTheme="majorHAnsi"/>
          <w:sz w:val="20"/>
          <w:szCs w:val="20"/>
          <w:lang w:val="es-CO"/>
        </w:rPr>
        <w:t>.</w:t>
      </w:r>
    </w:p>
    <w:p w14:paraId="4A3F240E" w14:textId="77777777" w:rsidR="00A65F4D" w:rsidRPr="00A65F4D" w:rsidRDefault="00A65F4D"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0"/>
        <w:jc w:val="both"/>
        <w:rPr>
          <w:rFonts w:asciiTheme="majorHAnsi" w:hAnsiTheme="majorHAnsi"/>
          <w:sz w:val="20"/>
          <w:szCs w:val="20"/>
          <w:lang w:val="es-CO"/>
        </w:rPr>
      </w:pPr>
    </w:p>
    <w:p w14:paraId="7356FF5B" w14:textId="21A30CD0" w:rsidR="00A65F4D" w:rsidRDefault="00365A69"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321D3">
        <w:rPr>
          <w:rFonts w:asciiTheme="majorHAnsi" w:hAnsiTheme="majorHAnsi"/>
          <w:sz w:val="20"/>
          <w:szCs w:val="20"/>
          <w:lang w:val="es-CO"/>
        </w:rPr>
        <w:t>El 31 de marzo de 1998 el señor Cordero Bernal presentó recurso extraordinario ante el Tribunal Constituciona</w:t>
      </w:r>
      <w:r w:rsidR="00CA5CED" w:rsidRPr="00A321D3">
        <w:rPr>
          <w:rFonts w:asciiTheme="majorHAnsi" w:hAnsiTheme="majorHAnsi"/>
          <w:sz w:val="20"/>
          <w:szCs w:val="20"/>
          <w:lang w:val="es-CO"/>
        </w:rPr>
        <w:t>l</w:t>
      </w:r>
      <w:r w:rsidRPr="00A321D3">
        <w:rPr>
          <w:rStyle w:val="FootnoteReference"/>
          <w:rFonts w:asciiTheme="majorHAnsi" w:hAnsiTheme="majorHAnsi"/>
          <w:sz w:val="20"/>
          <w:szCs w:val="20"/>
          <w:lang w:val="es-CO"/>
        </w:rPr>
        <w:footnoteReference w:id="38"/>
      </w:r>
      <w:r w:rsidR="00CA5CED" w:rsidRPr="00A321D3">
        <w:rPr>
          <w:rFonts w:asciiTheme="majorHAnsi" w:hAnsiTheme="majorHAnsi"/>
          <w:sz w:val="20"/>
          <w:szCs w:val="20"/>
          <w:lang w:val="es-CO"/>
        </w:rPr>
        <w:t xml:space="preserve">. </w:t>
      </w:r>
      <w:r w:rsidRPr="00A321D3">
        <w:rPr>
          <w:rFonts w:asciiTheme="majorHAnsi" w:hAnsiTheme="majorHAnsi"/>
          <w:sz w:val="20"/>
          <w:szCs w:val="20"/>
          <w:lang w:val="es-CO"/>
        </w:rPr>
        <w:t>Argumentó nuevamente que la impugnación de la decisión del CNM se fundamentaba en la falta de motivación suficiente en relación con la destitución. Asimismo, señaló que el artículo 31 inciso 2 de la Ley 26397 en el cual se había fundamentado la resolución del CNM que ordenó su destitución, fue derogado por la Ley 26933 que en su artículo primero indica que los magistrados del Poder Judicial incurren en causal de destitución cuando cometen un hecho grave que sin ser delito compromete la dignidad del cargo y lo desmerezca en el concepto público, siempre que hubieran sido sancionados con suspensión anteriormente</w:t>
      </w:r>
      <w:r w:rsidRPr="00A321D3">
        <w:rPr>
          <w:rStyle w:val="FootnoteReference"/>
          <w:rFonts w:asciiTheme="majorHAnsi" w:hAnsiTheme="majorHAnsi"/>
          <w:sz w:val="20"/>
          <w:szCs w:val="20"/>
          <w:lang w:val="es-CO"/>
        </w:rPr>
        <w:footnoteReference w:id="39"/>
      </w:r>
      <w:r w:rsidRPr="00A321D3">
        <w:rPr>
          <w:rFonts w:asciiTheme="majorHAnsi" w:hAnsiTheme="majorHAnsi"/>
          <w:sz w:val="20"/>
          <w:szCs w:val="20"/>
          <w:lang w:val="es-CO"/>
        </w:rPr>
        <w:t xml:space="preserve">. En este sentido alegó que </w:t>
      </w:r>
      <w:r w:rsidR="00345667" w:rsidRPr="00A321D3">
        <w:rPr>
          <w:rFonts w:asciiTheme="majorHAnsi" w:hAnsiTheme="majorHAnsi"/>
          <w:sz w:val="20"/>
          <w:szCs w:val="20"/>
          <w:lang w:val="es-CO"/>
        </w:rPr>
        <w:t>“su proceso se encuentra en giro, en cuya situación” debe aplic</w:t>
      </w:r>
      <w:r w:rsidR="00FF359B">
        <w:rPr>
          <w:rFonts w:asciiTheme="majorHAnsi" w:hAnsiTheme="majorHAnsi"/>
          <w:sz w:val="20"/>
          <w:szCs w:val="20"/>
          <w:lang w:val="es-CO"/>
        </w:rPr>
        <w:t>á</w:t>
      </w:r>
      <w:r w:rsidR="00345667" w:rsidRPr="00A321D3">
        <w:rPr>
          <w:rFonts w:asciiTheme="majorHAnsi" w:hAnsiTheme="majorHAnsi"/>
          <w:sz w:val="20"/>
          <w:szCs w:val="20"/>
          <w:lang w:val="es-CO"/>
        </w:rPr>
        <w:t>rsele la nueva norma,  y ya que n</w:t>
      </w:r>
      <w:r w:rsidR="00FF359B">
        <w:rPr>
          <w:rFonts w:asciiTheme="majorHAnsi" w:hAnsiTheme="majorHAnsi"/>
          <w:sz w:val="20"/>
          <w:szCs w:val="20"/>
          <w:lang w:val="es-CO"/>
        </w:rPr>
        <w:t>unca habí</w:t>
      </w:r>
      <w:r w:rsidR="00345667" w:rsidRPr="00A321D3">
        <w:rPr>
          <w:rFonts w:asciiTheme="majorHAnsi" w:hAnsiTheme="majorHAnsi"/>
          <w:sz w:val="20"/>
          <w:szCs w:val="20"/>
          <w:lang w:val="es-CO"/>
        </w:rPr>
        <w:t>a sido sancionado con suspensión con anterioridad, no se encuentra comprendido en la causal de destitución</w:t>
      </w:r>
      <w:r w:rsidRPr="00A321D3">
        <w:rPr>
          <w:rStyle w:val="FootnoteReference"/>
          <w:rFonts w:asciiTheme="majorHAnsi" w:hAnsiTheme="majorHAnsi"/>
          <w:sz w:val="20"/>
          <w:szCs w:val="20"/>
          <w:lang w:val="es-CO"/>
        </w:rPr>
        <w:footnoteReference w:id="40"/>
      </w:r>
      <w:r w:rsidRPr="00A321D3">
        <w:rPr>
          <w:rFonts w:asciiTheme="majorHAnsi" w:hAnsiTheme="majorHAnsi"/>
          <w:sz w:val="20"/>
          <w:szCs w:val="20"/>
          <w:lang w:val="es-CO"/>
        </w:rPr>
        <w:t>.</w:t>
      </w:r>
      <w:r w:rsidR="00345667" w:rsidRPr="00A321D3">
        <w:rPr>
          <w:rFonts w:asciiTheme="majorHAnsi" w:hAnsiTheme="majorHAnsi"/>
          <w:sz w:val="20"/>
          <w:szCs w:val="20"/>
          <w:lang w:val="es-CO"/>
        </w:rPr>
        <w:t xml:space="preserve"> Por otra parte, indicó que no resulta aplica</w:t>
      </w:r>
      <w:r w:rsidR="00CA5CED" w:rsidRPr="00A321D3">
        <w:rPr>
          <w:rFonts w:asciiTheme="majorHAnsi" w:hAnsiTheme="majorHAnsi"/>
          <w:sz w:val="20"/>
          <w:szCs w:val="20"/>
          <w:lang w:val="es-CO"/>
        </w:rPr>
        <w:t>b</w:t>
      </w:r>
      <w:r w:rsidR="00345667" w:rsidRPr="00A321D3">
        <w:rPr>
          <w:rFonts w:asciiTheme="majorHAnsi" w:hAnsiTheme="majorHAnsi"/>
          <w:sz w:val="20"/>
          <w:szCs w:val="20"/>
          <w:lang w:val="es-CO"/>
        </w:rPr>
        <w:t>le el artículo 142 de la Constitución porque el mismo hace referencia a procesos de evaluación y ratificación de jueces</w:t>
      </w:r>
      <w:r w:rsidR="005D04E1" w:rsidRPr="00A321D3">
        <w:rPr>
          <w:rFonts w:asciiTheme="majorHAnsi" w:hAnsiTheme="majorHAnsi"/>
          <w:sz w:val="20"/>
          <w:szCs w:val="20"/>
          <w:lang w:val="es-CO"/>
        </w:rPr>
        <w:t>, que no es su caso</w:t>
      </w:r>
      <w:r w:rsidR="00D503BF" w:rsidRPr="00A321D3">
        <w:rPr>
          <w:rFonts w:asciiTheme="majorHAnsi" w:hAnsiTheme="majorHAnsi"/>
          <w:sz w:val="20"/>
          <w:szCs w:val="20"/>
          <w:lang w:val="es-CO"/>
        </w:rPr>
        <w:t xml:space="preserve"> y que el mismo artículo indica que “el proceso de ratificación es independiente de las medidas disciplinarias que adopte el Poder Judicial o de la sanción de destitución”</w:t>
      </w:r>
      <w:r w:rsidR="005D04E1" w:rsidRPr="00A321D3">
        <w:rPr>
          <w:rStyle w:val="FootnoteReference"/>
          <w:rFonts w:asciiTheme="majorHAnsi" w:hAnsiTheme="majorHAnsi"/>
          <w:sz w:val="20"/>
          <w:szCs w:val="20"/>
          <w:lang w:val="es-CO"/>
        </w:rPr>
        <w:footnoteReference w:id="41"/>
      </w:r>
      <w:r w:rsidR="005D04E1" w:rsidRPr="00A321D3">
        <w:rPr>
          <w:rFonts w:asciiTheme="majorHAnsi" w:hAnsiTheme="majorHAnsi"/>
          <w:sz w:val="20"/>
          <w:szCs w:val="20"/>
          <w:lang w:val="es-CO"/>
        </w:rPr>
        <w:t xml:space="preserve">. </w:t>
      </w:r>
    </w:p>
    <w:p w14:paraId="6B8F30D4" w14:textId="77777777" w:rsidR="00A65F4D" w:rsidRDefault="00A65F4D"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6F512F12" w14:textId="77777777" w:rsidR="00A65F4D" w:rsidRDefault="00365A69"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65F4D">
        <w:rPr>
          <w:rFonts w:asciiTheme="majorHAnsi" w:hAnsiTheme="majorHAnsi"/>
          <w:sz w:val="20"/>
          <w:szCs w:val="20"/>
          <w:lang w:val="es-CO"/>
        </w:rPr>
        <w:t>El 16 de junio de 1998 el señor Cordero Bernal realizó una ampliación a su recurso extraordinario defendiendo los argumentos anteriormente esgrimidos</w:t>
      </w:r>
      <w:r w:rsidRPr="00A321D3">
        <w:rPr>
          <w:rStyle w:val="FootnoteReference"/>
          <w:rFonts w:asciiTheme="majorHAnsi" w:hAnsiTheme="majorHAnsi"/>
          <w:sz w:val="20"/>
          <w:szCs w:val="20"/>
          <w:lang w:val="es-CO"/>
        </w:rPr>
        <w:footnoteReference w:id="42"/>
      </w:r>
      <w:r w:rsidRPr="00A65F4D">
        <w:rPr>
          <w:rFonts w:asciiTheme="majorHAnsi" w:hAnsiTheme="majorHAnsi"/>
          <w:sz w:val="20"/>
          <w:szCs w:val="20"/>
          <w:lang w:val="es-CO"/>
        </w:rPr>
        <w:t>.</w:t>
      </w:r>
    </w:p>
    <w:p w14:paraId="1887C1B3" w14:textId="77777777" w:rsidR="00A65F4D" w:rsidRDefault="00A65F4D" w:rsidP="00975184">
      <w:pPr>
        <w:pStyle w:val="ListParagraph"/>
        <w:rPr>
          <w:rFonts w:asciiTheme="majorHAnsi" w:hAnsiTheme="majorHAnsi"/>
          <w:sz w:val="20"/>
          <w:szCs w:val="20"/>
          <w:lang w:val="es-CO"/>
        </w:rPr>
      </w:pPr>
    </w:p>
    <w:p w14:paraId="2B1EA2C1" w14:textId="77777777" w:rsidR="00A65F4D" w:rsidRDefault="00365A69"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65F4D">
        <w:rPr>
          <w:rFonts w:asciiTheme="majorHAnsi" w:hAnsiTheme="majorHAnsi"/>
          <w:sz w:val="20"/>
          <w:szCs w:val="20"/>
          <w:lang w:val="es-CO"/>
        </w:rPr>
        <w:t>El 8 de mayo de 1998 el Tribunal Constitucional emitió sentencia declarando infundada la acción de amparo</w:t>
      </w:r>
      <w:r w:rsidR="00A65F4D">
        <w:rPr>
          <w:rFonts w:asciiTheme="majorHAnsi" w:hAnsiTheme="majorHAnsi"/>
          <w:sz w:val="20"/>
          <w:szCs w:val="20"/>
          <w:lang w:val="es-CO"/>
        </w:rPr>
        <w:t xml:space="preserve"> a estimar lo siguiente</w:t>
      </w:r>
    </w:p>
    <w:p w14:paraId="51569ED4" w14:textId="77777777" w:rsidR="00A65F4D" w:rsidRDefault="00A65F4D" w:rsidP="00975184">
      <w:pPr>
        <w:pStyle w:val="ListParagraph"/>
        <w:rPr>
          <w:rFonts w:asciiTheme="majorHAnsi" w:hAnsiTheme="majorHAnsi"/>
          <w:sz w:val="20"/>
          <w:szCs w:val="20"/>
          <w:lang w:val="es-CO"/>
        </w:rPr>
      </w:pPr>
    </w:p>
    <w:p w14:paraId="03180742" w14:textId="77777777" w:rsidR="00A65F4D" w:rsidRDefault="009A5646"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r w:rsidRPr="00A65F4D">
        <w:rPr>
          <w:rFonts w:asciiTheme="majorHAnsi" w:hAnsiTheme="majorHAnsi"/>
          <w:sz w:val="20"/>
          <w:szCs w:val="20"/>
          <w:lang w:val="es-CO"/>
        </w:rPr>
        <w:t xml:space="preserve">2. Que de autos resulta que la resolución cuestionada es consecuencia del proceso administrativo respectivo, donde el Consejo Nacional de la Magistratura ha procedido en estricta observancia de la ley, y en el que el demandante ha ejercido su derecho de defensa, que en su oportunidad ha sido merituada por la emplazada. </w:t>
      </w:r>
    </w:p>
    <w:p w14:paraId="4BDB1317" w14:textId="77777777" w:rsidR="00A65F4D" w:rsidRDefault="00A65F4D"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p>
    <w:p w14:paraId="2E784854" w14:textId="77777777" w:rsidR="009A5646" w:rsidRPr="00A321D3" w:rsidRDefault="00C9329D"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r w:rsidRPr="00A321D3">
        <w:rPr>
          <w:rFonts w:asciiTheme="majorHAnsi" w:hAnsiTheme="majorHAnsi"/>
          <w:sz w:val="20"/>
          <w:szCs w:val="20"/>
          <w:lang w:val="es-CO"/>
        </w:rPr>
        <w:t>3. Que, habiéndose procedido de conformidad con las pautas esenciales del debido proceso; descartándose el argumento del demandante de señalar que la resolución impugnada carece de motivación por el propio tenor de la misma, cuya copia certificada obra en autos de fojas 2 a 4, y donde de su lectura se aprecia la valorización realizada por el Consejo Nacional de la Magistratura</w:t>
      </w:r>
      <w:r w:rsidR="007B7D3B" w:rsidRPr="00A321D3">
        <w:rPr>
          <w:rFonts w:asciiTheme="majorHAnsi" w:hAnsiTheme="majorHAnsi"/>
          <w:sz w:val="20"/>
          <w:szCs w:val="20"/>
          <w:lang w:val="es-CO"/>
        </w:rPr>
        <w:t xml:space="preserve"> de lo expuesto por las partes incluido el descargo del propio demandante, es por demás desestimable la presente acción de garantía </w:t>
      </w:r>
      <w:r w:rsidR="00365A69" w:rsidRPr="00A321D3">
        <w:rPr>
          <w:rStyle w:val="FootnoteReference"/>
          <w:rFonts w:asciiTheme="majorHAnsi" w:hAnsiTheme="majorHAnsi"/>
          <w:sz w:val="20"/>
          <w:szCs w:val="20"/>
          <w:lang w:val="es-CO"/>
        </w:rPr>
        <w:footnoteReference w:id="43"/>
      </w:r>
      <w:r w:rsidR="00365A69" w:rsidRPr="00A321D3">
        <w:rPr>
          <w:rFonts w:asciiTheme="majorHAnsi" w:hAnsiTheme="majorHAnsi"/>
          <w:sz w:val="20"/>
          <w:szCs w:val="20"/>
          <w:lang w:val="es-CO"/>
        </w:rPr>
        <w:t xml:space="preserve">. </w:t>
      </w:r>
    </w:p>
    <w:p w14:paraId="6FBA18C2" w14:textId="77777777" w:rsidR="00C364C3" w:rsidRDefault="00C364C3" w:rsidP="00C364C3">
      <w:pPr>
        <w:rPr>
          <w:lang w:val="es-VE"/>
        </w:rPr>
      </w:pPr>
    </w:p>
    <w:p w14:paraId="5154B6E6" w14:textId="77777777" w:rsidR="00C364C3" w:rsidRDefault="00C364C3" w:rsidP="00C364C3">
      <w:pPr>
        <w:rPr>
          <w:lang w:val="es-VE"/>
        </w:rPr>
      </w:pPr>
    </w:p>
    <w:p w14:paraId="39F9691A" w14:textId="77777777" w:rsidR="00C364C3" w:rsidRDefault="00C364C3" w:rsidP="00C364C3">
      <w:pPr>
        <w:rPr>
          <w:lang w:val="es-VE"/>
        </w:rPr>
      </w:pPr>
    </w:p>
    <w:p w14:paraId="682AD55B" w14:textId="77777777" w:rsidR="00C364C3" w:rsidRPr="00C364C3" w:rsidRDefault="00C364C3" w:rsidP="00C364C3">
      <w:pPr>
        <w:rPr>
          <w:lang w:val="es-VE"/>
        </w:rPr>
      </w:pPr>
    </w:p>
    <w:p w14:paraId="2887D65F" w14:textId="77777777" w:rsidR="001C286E" w:rsidRPr="00A321D3" w:rsidRDefault="001C286E" w:rsidP="00975184">
      <w:pPr>
        <w:pStyle w:val="Heading2"/>
        <w:numPr>
          <w:ilvl w:val="0"/>
          <w:numId w:val="61"/>
        </w:numPr>
        <w:ind w:left="1440" w:hanging="720"/>
        <w:rPr>
          <w:rFonts w:cs="Arial"/>
          <w:bCs/>
          <w:iCs/>
          <w:lang w:val="es-VE"/>
        </w:rPr>
      </w:pPr>
      <w:bookmarkStart w:id="27" w:name="_Toc514247640"/>
      <w:r w:rsidRPr="00A321D3">
        <w:rPr>
          <w:rFonts w:cs="Arial"/>
          <w:bCs/>
          <w:iCs/>
          <w:lang w:val="es-VE"/>
        </w:rPr>
        <w:t>Proceso penal en contra de Héctor Fidel Cordero Bernal</w:t>
      </w:r>
      <w:bookmarkEnd w:id="27"/>
    </w:p>
    <w:p w14:paraId="7E37B0C2" w14:textId="77777777" w:rsidR="00A65F4D" w:rsidRDefault="00A65F4D" w:rsidP="00C364C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p>
    <w:p w14:paraId="3984EFCC" w14:textId="77777777" w:rsidR="00A65F4D" w:rsidRDefault="007543DF"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321D3">
        <w:rPr>
          <w:rFonts w:asciiTheme="majorHAnsi" w:hAnsiTheme="majorHAnsi"/>
          <w:sz w:val="20"/>
          <w:szCs w:val="20"/>
          <w:lang w:val="es-CO"/>
        </w:rPr>
        <w:t>Según se desprende del expediente, el Vocal Supremo Jefe de la Oficina de Control de la Magistratura del Poder Judicial formuló denuncia penal en contra de la presunta víctima por los delitos de prevaricato y encubrimiento personal, por los mismos hechos materia del proceso disciplinario</w:t>
      </w:r>
      <w:r w:rsidRPr="00A321D3">
        <w:rPr>
          <w:rFonts w:asciiTheme="majorHAnsi" w:hAnsiTheme="majorHAnsi"/>
          <w:sz w:val="20"/>
          <w:szCs w:val="20"/>
          <w:vertAlign w:val="superscript"/>
        </w:rPr>
        <w:footnoteReference w:id="44"/>
      </w:r>
      <w:r w:rsidRPr="00A321D3">
        <w:rPr>
          <w:rFonts w:asciiTheme="majorHAnsi" w:hAnsiTheme="majorHAnsi"/>
          <w:sz w:val="20"/>
          <w:szCs w:val="20"/>
          <w:lang w:val="es-CO"/>
        </w:rPr>
        <w:t xml:space="preserve">. </w:t>
      </w:r>
    </w:p>
    <w:p w14:paraId="3BF03F8C" w14:textId="77777777" w:rsidR="00A65F4D" w:rsidRDefault="00A65F4D"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0AC2C0EB" w14:textId="77777777" w:rsidR="00A65F4D" w:rsidRPr="00A65F4D" w:rsidRDefault="007543DF"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65F4D">
        <w:rPr>
          <w:rFonts w:asciiTheme="majorHAnsi" w:hAnsiTheme="majorHAnsi"/>
          <w:sz w:val="20"/>
          <w:szCs w:val="20"/>
          <w:lang w:val="es-CO"/>
        </w:rPr>
        <w:t xml:space="preserve">El 30 de julio de 1997 la </w:t>
      </w:r>
      <w:r w:rsidR="001C286E" w:rsidRPr="00A65F4D">
        <w:rPr>
          <w:rFonts w:asciiTheme="majorHAnsi" w:hAnsiTheme="majorHAnsi"/>
          <w:sz w:val="20"/>
          <w:szCs w:val="20"/>
          <w:lang w:val="es-CO"/>
        </w:rPr>
        <w:t>Comisión Ejecutiva del Ministerio Público declaró fundada la denuncia presentada</w:t>
      </w:r>
      <w:r w:rsidR="005C5DF3" w:rsidRPr="00A65F4D">
        <w:rPr>
          <w:rFonts w:asciiTheme="majorHAnsi" w:hAnsiTheme="majorHAnsi"/>
          <w:sz w:val="20"/>
          <w:szCs w:val="20"/>
          <w:lang w:val="es-CO"/>
        </w:rPr>
        <w:t xml:space="preserve"> </w:t>
      </w:r>
      <w:r w:rsidR="001C286E" w:rsidRPr="00A65F4D">
        <w:rPr>
          <w:rFonts w:asciiTheme="majorHAnsi" w:hAnsiTheme="majorHAnsi"/>
          <w:sz w:val="20"/>
          <w:szCs w:val="20"/>
          <w:lang w:val="es-CO"/>
        </w:rPr>
        <w:t>y remitió el expediente al Fiscal Supremo para formalizar la denuncia penal</w:t>
      </w:r>
      <w:r w:rsidR="001C286E" w:rsidRPr="00A65F4D">
        <w:rPr>
          <w:rFonts w:asciiTheme="majorHAnsi" w:hAnsiTheme="majorHAnsi"/>
          <w:sz w:val="20"/>
          <w:szCs w:val="20"/>
          <w:vertAlign w:val="superscript"/>
        </w:rPr>
        <w:footnoteReference w:id="45"/>
      </w:r>
      <w:r w:rsidR="001C286E" w:rsidRPr="00A65F4D">
        <w:rPr>
          <w:rFonts w:asciiTheme="majorHAnsi" w:hAnsiTheme="majorHAnsi"/>
          <w:sz w:val="20"/>
          <w:szCs w:val="20"/>
          <w:lang w:val="es-CO"/>
        </w:rPr>
        <w:t>.</w:t>
      </w:r>
    </w:p>
    <w:p w14:paraId="6C6FAFCA" w14:textId="77777777" w:rsidR="00A65F4D" w:rsidRPr="00A65F4D" w:rsidRDefault="00A65F4D" w:rsidP="00975184">
      <w:pPr>
        <w:pStyle w:val="ListParagraph"/>
        <w:rPr>
          <w:rFonts w:asciiTheme="majorHAnsi" w:hAnsiTheme="majorHAnsi"/>
          <w:sz w:val="20"/>
          <w:szCs w:val="20"/>
          <w:lang w:val="es-CO"/>
        </w:rPr>
      </w:pPr>
    </w:p>
    <w:p w14:paraId="13B7CFF9" w14:textId="77777777" w:rsidR="00A65F4D" w:rsidRDefault="001C286E"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65F4D">
        <w:rPr>
          <w:rFonts w:asciiTheme="majorHAnsi" w:hAnsiTheme="majorHAnsi"/>
          <w:sz w:val="20"/>
          <w:szCs w:val="20"/>
          <w:lang w:val="es-CO"/>
        </w:rPr>
        <w:t>El 30 de abril de 1998 el Fiscal Superior Penal del Distrito Judicial de Huánuco-Pasco formalizó denuncia en contra de la presunta víctima por los delitos de prevaricato y encubrimiento personal</w:t>
      </w:r>
      <w:r w:rsidR="002767C9" w:rsidRPr="00A65F4D">
        <w:rPr>
          <w:rFonts w:asciiTheme="majorHAnsi" w:hAnsiTheme="majorHAnsi"/>
          <w:sz w:val="20"/>
          <w:szCs w:val="20"/>
          <w:lang w:val="es-CO"/>
        </w:rPr>
        <w:t xml:space="preserve"> previstos en los artículos 418 y 404 del Código Penal, </w:t>
      </w:r>
      <w:r w:rsidR="00583A35" w:rsidRPr="00A65F4D">
        <w:rPr>
          <w:rFonts w:asciiTheme="majorHAnsi" w:hAnsiTheme="majorHAnsi"/>
          <w:sz w:val="20"/>
          <w:szCs w:val="20"/>
          <w:lang w:val="es-CO"/>
        </w:rPr>
        <w:t>por oto</w:t>
      </w:r>
      <w:r w:rsidR="00A65F4D">
        <w:rPr>
          <w:rFonts w:asciiTheme="majorHAnsi" w:hAnsiTheme="majorHAnsi"/>
          <w:sz w:val="20"/>
          <w:szCs w:val="20"/>
          <w:lang w:val="es-CO"/>
        </w:rPr>
        <w:t>rgar:</w:t>
      </w:r>
    </w:p>
    <w:p w14:paraId="0DB2330A" w14:textId="77777777" w:rsidR="00A65F4D" w:rsidRDefault="00A65F4D" w:rsidP="00975184">
      <w:pPr>
        <w:pStyle w:val="ListParagraph"/>
        <w:rPr>
          <w:rFonts w:asciiTheme="majorHAnsi" w:hAnsiTheme="majorHAnsi"/>
          <w:sz w:val="20"/>
          <w:szCs w:val="20"/>
          <w:lang w:val="es-CO"/>
        </w:rPr>
      </w:pPr>
    </w:p>
    <w:p w14:paraId="085CC73A" w14:textId="77777777" w:rsidR="001C286E" w:rsidRPr="00A65F4D" w:rsidRDefault="001C286E"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r w:rsidRPr="00A65F4D">
        <w:rPr>
          <w:rFonts w:asciiTheme="majorHAnsi" w:hAnsiTheme="majorHAnsi"/>
          <w:sz w:val="20"/>
          <w:szCs w:val="20"/>
          <w:lang w:val="es-CO"/>
        </w:rPr>
        <w:t>indebidamente libertad condicional sin analizar ni valorar las pruebas reunidas durante la investigación policial, incluso obviando las pruebas actuadas y con argumentos ilógicos en su afán de favorecer, contraviniendo a lo previsto por el art. 201 del C. de P.P. al no tener e</w:t>
      </w:r>
      <w:r w:rsidR="00420712" w:rsidRPr="00A65F4D">
        <w:rPr>
          <w:rFonts w:asciiTheme="majorHAnsi" w:hAnsiTheme="majorHAnsi"/>
          <w:sz w:val="20"/>
          <w:szCs w:val="20"/>
          <w:lang w:val="es-CO"/>
        </w:rPr>
        <w:t>n cuenta las pruebas existentes</w:t>
      </w:r>
      <w:r w:rsidRPr="00A321D3">
        <w:rPr>
          <w:rStyle w:val="FootnoteReference"/>
          <w:rFonts w:asciiTheme="majorHAnsi" w:hAnsiTheme="majorHAnsi"/>
          <w:sz w:val="20"/>
          <w:szCs w:val="20"/>
          <w:lang w:val="es-CO"/>
        </w:rPr>
        <w:footnoteReference w:id="46"/>
      </w:r>
      <w:r w:rsidRPr="00A65F4D">
        <w:rPr>
          <w:rFonts w:asciiTheme="majorHAnsi" w:hAnsiTheme="majorHAnsi"/>
          <w:sz w:val="20"/>
          <w:szCs w:val="20"/>
          <w:lang w:val="es-CO"/>
        </w:rPr>
        <w:t>.</w:t>
      </w:r>
    </w:p>
    <w:p w14:paraId="6A539F36" w14:textId="77777777" w:rsidR="00A65F4D" w:rsidRDefault="00A65F4D"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250FBBBA" w14:textId="77777777" w:rsidR="00A65F4D" w:rsidRDefault="001C286E"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321D3">
        <w:rPr>
          <w:rFonts w:asciiTheme="majorHAnsi" w:hAnsiTheme="majorHAnsi"/>
          <w:sz w:val="20"/>
          <w:szCs w:val="20"/>
          <w:lang w:val="es-CO"/>
        </w:rPr>
        <w:t>El 26 de mayo</w:t>
      </w:r>
      <w:r w:rsidR="003547A1" w:rsidRPr="00A321D3">
        <w:rPr>
          <w:rFonts w:asciiTheme="majorHAnsi" w:hAnsiTheme="majorHAnsi"/>
          <w:sz w:val="20"/>
          <w:szCs w:val="20"/>
          <w:lang w:val="es-CO"/>
        </w:rPr>
        <w:t xml:space="preserve"> de 1998 la Primera Sala Penal de Huanuco</w:t>
      </w:r>
      <w:r w:rsidRPr="00A321D3">
        <w:rPr>
          <w:rFonts w:asciiTheme="majorHAnsi" w:hAnsiTheme="majorHAnsi"/>
          <w:sz w:val="20"/>
          <w:szCs w:val="20"/>
          <w:lang w:val="es-CO"/>
        </w:rPr>
        <w:t xml:space="preserve"> abrió instrucción en la vía sumaria contra la presunta víctima</w:t>
      </w:r>
      <w:r w:rsidR="003547A1" w:rsidRPr="00A321D3">
        <w:rPr>
          <w:rFonts w:asciiTheme="majorHAnsi" w:hAnsiTheme="majorHAnsi"/>
          <w:sz w:val="20"/>
          <w:szCs w:val="20"/>
          <w:lang w:val="es-CO"/>
        </w:rPr>
        <w:t xml:space="preserve"> tomando en cuenta los mismos hechos descritos en el párrafo anterior</w:t>
      </w:r>
      <w:r w:rsidRPr="00A321D3">
        <w:rPr>
          <w:rStyle w:val="FootnoteReference"/>
          <w:rFonts w:asciiTheme="majorHAnsi" w:hAnsiTheme="majorHAnsi"/>
          <w:sz w:val="20"/>
          <w:szCs w:val="20"/>
          <w:lang w:val="es-CO"/>
        </w:rPr>
        <w:footnoteReference w:id="47"/>
      </w:r>
      <w:r w:rsidR="003547A1" w:rsidRPr="00A321D3">
        <w:rPr>
          <w:rFonts w:asciiTheme="majorHAnsi" w:hAnsiTheme="majorHAnsi"/>
          <w:sz w:val="20"/>
          <w:szCs w:val="20"/>
          <w:lang w:val="es-CO"/>
        </w:rPr>
        <w:t xml:space="preserve">. </w:t>
      </w:r>
    </w:p>
    <w:p w14:paraId="67A191A1" w14:textId="77777777" w:rsidR="00A65F4D" w:rsidRDefault="00A65F4D"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3C5CBD22" w14:textId="77777777" w:rsidR="00A65F4D" w:rsidRDefault="0076102B"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65F4D">
        <w:rPr>
          <w:rFonts w:asciiTheme="majorHAnsi" w:hAnsiTheme="majorHAnsi"/>
          <w:sz w:val="20"/>
          <w:szCs w:val="20"/>
          <w:lang w:val="es-CO"/>
        </w:rPr>
        <w:t>El 17 de junio de 1998 la presunta víctima rindió su declaración instructiva, y declaró que</w:t>
      </w:r>
      <w:r w:rsidR="009F1235" w:rsidRPr="00A65F4D">
        <w:rPr>
          <w:rFonts w:asciiTheme="majorHAnsi" w:hAnsiTheme="majorHAnsi"/>
          <w:sz w:val="20"/>
          <w:szCs w:val="20"/>
          <w:lang w:val="es-CO"/>
        </w:rPr>
        <w:t xml:space="preserve">: </w:t>
      </w:r>
    </w:p>
    <w:p w14:paraId="4CD08D8E" w14:textId="77777777" w:rsidR="00A65F4D" w:rsidRDefault="00A65F4D" w:rsidP="00975184">
      <w:pPr>
        <w:pStyle w:val="ListParagraph"/>
        <w:rPr>
          <w:rFonts w:asciiTheme="majorHAnsi" w:hAnsiTheme="majorHAnsi"/>
          <w:sz w:val="20"/>
          <w:szCs w:val="20"/>
          <w:lang w:val="es-CO"/>
        </w:rPr>
      </w:pPr>
    </w:p>
    <w:p w14:paraId="77D35002" w14:textId="39BBE5C0" w:rsidR="009F1235" w:rsidRDefault="009F1235"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630" w:firstLine="0"/>
        <w:jc w:val="both"/>
        <w:rPr>
          <w:rFonts w:asciiTheme="majorHAnsi" w:hAnsiTheme="majorHAnsi"/>
          <w:sz w:val="20"/>
          <w:szCs w:val="20"/>
          <w:lang w:val="es-CO"/>
        </w:rPr>
      </w:pPr>
      <w:r w:rsidRPr="00A65F4D">
        <w:rPr>
          <w:rFonts w:asciiTheme="majorHAnsi" w:hAnsiTheme="majorHAnsi"/>
          <w:sz w:val="20"/>
          <w:szCs w:val="20"/>
          <w:lang w:val="es-CO"/>
        </w:rPr>
        <w:t xml:space="preserve">mi </w:t>
      </w:r>
      <w:r w:rsidR="0076102B" w:rsidRPr="00A65F4D">
        <w:rPr>
          <w:rFonts w:asciiTheme="majorHAnsi" w:hAnsiTheme="majorHAnsi"/>
          <w:sz w:val="20"/>
          <w:szCs w:val="20"/>
          <w:lang w:val="es-CO"/>
        </w:rPr>
        <w:t xml:space="preserve">decisión expidiendo libertad incondicional tiene sentido racional (…) que errada o no bajo el principio jurisdiccional </w:t>
      </w:r>
      <w:r w:rsidR="00BD01F4" w:rsidRPr="00A65F4D">
        <w:rPr>
          <w:rFonts w:asciiTheme="majorHAnsi" w:hAnsiTheme="majorHAnsi"/>
          <w:sz w:val="20"/>
          <w:szCs w:val="20"/>
          <w:lang w:val="es-CO"/>
        </w:rPr>
        <w:t>es condición sine quanen (sic) en toda resolución jurisdiccional tal situación se expresa en mi decisión de naturaleza funcional amp</w:t>
      </w:r>
      <w:r w:rsidR="005C5DF3" w:rsidRPr="00A65F4D">
        <w:rPr>
          <w:rFonts w:asciiTheme="majorHAnsi" w:hAnsiTheme="majorHAnsi"/>
          <w:sz w:val="20"/>
          <w:szCs w:val="20"/>
          <w:lang w:val="es-CO"/>
        </w:rPr>
        <w:t>a</w:t>
      </w:r>
      <w:r w:rsidR="00BD01F4" w:rsidRPr="00A65F4D">
        <w:rPr>
          <w:rFonts w:asciiTheme="majorHAnsi" w:hAnsiTheme="majorHAnsi"/>
          <w:sz w:val="20"/>
          <w:szCs w:val="20"/>
          <w:lang w:val="es-CO"/>
        </w:rPr>
        <w:t xml:space="preserve">rada por el artículo ciento treintinueve inciso segundo de la Constitución Política del Perú y en mérito a hechos concretos y reales, pruebas objetivas que aparecen en los actuados y de acuerdo a normas legales en vigencia. </w:t>
      </w:r>
      <w:r w:rsidRPr="00A65F4D">
        <w:rPr>
          <w:rFonts w:asciiTheme="majorHAnsi" w:hAnsiTheme="majorHAnsi"/>
          <w:sz w:val="20"/>
          <w:szCs w:val="20"/>
          <w:lang w:val="es-CO"/>
        </w:rPr>
        <w:t xml:space="preserve">  (…) Señala el inculpado que su nombramiento en el Primer Juzgado Penal fue irregular, porqué luego de la visita de la doctora Ines Villa Bonilla se advierte, que la Sala Penal de la Corte Superior había dispuesto que el Primer Juzgado sea encargado al Juez Penal más Remoto (sic), en ese caso correspondía al Quinto Juzgado Penal (…) no obstante el Presidente de la Corte Superior de aquel entonces doctor Humberto Cajahuanca, contraviniendo el acuerdo de la Sala Penal designó al declarante para que se hiciera cargo del Juzgado, sin tener en cuenta que un día antes el deponente le había indicado al Presidente que no podía hacerse cargo de dos Juzgado (sic) porqué (sic) no tenía experiencia toda ves (sic) que había trabajado en la parte Administrativa (sic) de la Caja de Ahorros de Lima, pero el Presidente le indicó que se comprara un libro de resoluciones y el problema estaba resuelto (…)</w:t>
      </w:r>
      <w:r w:rsidR="00350C9A" w:rsidRPr="00A65F4D">
        <w:rPr>
          <w:rFonts w:asciiTheme="majorHAnsi" w:hAnsiTheme="majorHAnsi"/>
          <w:sz w:val="20"/>
          <w:szCs w:val="20"/>
          <w:lang w:val="es-CO"/>
        </w:rPr>
        <w:t xml:space="preserve">  que el día veintrés de junio (…) el doctor Humberto Cajahuanca llamó al declarante y le refirió que tenía conocimiento del expediente setentitrés del noven</w:t>
      </w:r>
      <w:r w:rsidR="00FD631E" w:rsidRPr="00A65F4D">
        <w:rPr>
          <w:rFonts w:asciiTheme="majorHAnsi" w:hAnsiTheme="majorHAnsi"/>
          <w:sz w:val="20"/>
          <w:szCs w:val="20"/>
          <w:lang w:val="es-CO"/>
        </w:rPr>
        <w:t>tici</w:t>
      </w:r>
      <w:r w:rsidR="00350C9A" w:rsidRPr="00A65F4D">
        <w:rPr>
          <w:rFonts w:asciiTheme="majorHAnsi" w:hAnsiTheme="majorHAnsi"/>
          <w:sz w:val="20"/>
          <w:szCs w:val="20"/>
          <w:lang w:val="es-CO"/>
        </w:rPr>
        <w:t>nco que giraba ante el Primer Juzgado Penal y le pidió que otorgara libertad incondicional porque procedía, respecto a los procesados de dicho expediente,  a lo que el declarante le indicó que iba a estudiarlo pero que le llamaba la atención que él tuviera interés por este expediente y que luego de estudiar el expediente desde el punto de vista a mérito de las pruebas actuadas procedía dicha libertad</w:t>
      </w:r>
      <w:r w:rsidR="00C01DAD">
        <w:rPr>
          <w:rFonts w:asciiTheme="majorHAnsi" w:hAnsiTheme="majorHAnsi"/>
          <w:sz w:val="20"/>
          <w:szCs w:val="20"/>
          <w:lang w:val="es-CO"/>
        </w:rPr>
        <w:t xml:space="preserve"> </w:t>
      </w:r>
      <w:r w:rsidR="00D54D5C" w:rsidRPr="00A65F4D">
        <w:rPr>
          <w:rFonts w:asciiTheme="majorHAnsi" w:hAnsiTheme="majorHAnsi"/>
          <w:sz w:val="20"/>
          <w:szCs w:val="20"/>
          <w:lang w:val="es-CO"/>
        </w:rPr>
        <w:t>(…) por su parte el declarante no hubiera otorgado la libertad incondicional por l</w:t>
      </w:r>
      <w:r w:rsidR="005C5DF3" w:rsidRPr="00A65F4D">
        <w:rPr>
          <w:rFonts w:asciiTheme="majorHAnsi" w:hAnsiTheme="majorHAnsi"/>
          <w:sz w:val="20"/>
          <w:szCs w:val="20"/>
          <w:lang w:val="es-CO"/>
        </w:rPr>
        <w:t>a connotación que tenía el caso</w:t>
      </w:r>
      <w:r w:rsidR="00D54D5C" w:rsidRPr="00A65F4D">
        <w:rPr>
          <w:rFonts w:asciiTheme="majorHAnsi" w:hAnsiTheme="majorHAnsi"/>
          <w:sz w:val="20"/>
          <w:szCs w:val="20"/>
          <w:lang w:val="es-CO"/>
        </w:rPr>
        <w:t>, y además si hubiera estado probado la responsabilidad de los procesados, pero debido a la presión que ejerción(sic) el Presidente de la Corte Humberto Cajahuanca concedió dicho beneficio</w:t>
      </w:r>
      <w:r w:rsidRPr="00A321D3">
        <w:rPr>
          <w:rStyle w:val="FootnoteReference"/>
          <w:rFonts w:asciiTheme="majorHAnsi" w:hAnsiTheme="majorHAnsi"/>
          <w:sz w:val="20"/>
          <w:szCs w:val="20"/>
          <w:lang w:val="es-CO"/>
        </w:rPr>
        <w:footnoteReference w:id="48"/>
      </w:r>
      <w:r w:rsidR="00D54D5C" w:rsidRPr="00A65F4D">
        <w:rPr>
          <w:rFonts w:asciiTheme="majorHAnsi" w:hAnsiTheme="majorHAnsi"/>
          <w:sz w:val="20"/>
          <w:szCs w:val="20"/>
          <w:lang w:val="es-CO"/>
        </w:rPr>
        <w:t>.</w:t>
      </w:r>
    </w:p>
    <w:p w14:paraId="00B14B40" w14:textId="77777777" w:rsidR="008938E1" w:rsidRPr="00A65F4D" w:rsidRDefault="008938E1"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p>
    <w:p w14:paraId="2CA086BB" w14:textId="77777777" w:rsidR="00A65F4D" w:rsidRDefault="001C286E"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321D3">
        <w:rPr>
          <w:rFonts w:asciiTheme="majorHAnsi" w:hAnsiTheme="majorHAnsi"/>
          <w:sz w:val="20"/>
          <w:szCs w:val="20"/>
          <w:lang w:val="es-CO"/>
        </w:rPr>
        <w:t xml:space="preserve"> El 18 de junio de 1998 la presunta víctima presentó excepción de naturaleza de acción, argumentando que no existió encubrimiento personal en su decisión jurisdiccional puesto que se trataba de un acto propio de su función como juez y que no hay lugar a sanción por discrepancia de opinión o criterio en la resolución de los procesos</w:t>
      </w:r>
      <w:r w:rsidRPr="00A321D3">
        <w:rPr>
          <w:rStyle w:val="FootnoteReference"/>
          <w:rFonts w:asciiTheme="majorHAnsi" w:hAnsiTheme="majorHAnsi"/>
          <w:sz w:val="20"/>
          <w:szCs w:val="20"/>
          <w:lang w:val="es-CO"/>
        </w:rPr>
        <w:footnoteReference w:id="49"/>
      </w:r>
      <w:r w:rsidRPr="00A321D3">
        <w:rPr>
          <w:rFonts w:asciiTheme="majorHAnsi" w:hAnsiTheme="majorHAnsi"/>
          <w:sz w:val="20"/>
          <w:szCs w:val="20"/>
          <w:lang w:val="es-CO"/>
        </w:rPr>
        <w:t>.</w:t>
      </w:r>
      <w:r w:rsidR="003916B5" w:rsidRPr="00A321D3">
        <w:rPr>
          <w:rFonts w:asciiTheme="majorHAnsi" w:hAnsiTheme="majorHAnsi"/>
          <w:sz w:val="20"/>
          <w:szCs w:val="20"/>
          <w:lang w:val="es-CO"/>
        </w:rPr>
        <w:t xml:space="preserve">  En dicho escrito argumentó que:</w:t>
      </w:r>
    </w:p>
    <w:p w14:paraId="255D7B6B" w14:textId="77777777" w:rsidR="00A65F4D" w:rsidRDefault="00A65F4D"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0E5481CB" w14:textId="77777777" w:rsidR="003916B5" w:rsidRPr="00A65F4D" w:rsidRDefault="003916B5"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s-CO"/>
        </w:rPr>
      </w:pPr>
      <w:r w:rsidRPr="00A65F4D">
        <w:rPr>
          <w:rFonts w:asciiTheme="majorHAnsi" w:hAnsiTheme="majorHAnsi"/>
          <w:sz w:val="20"/>
          <w:szCs w:val="20"/>
          <w:lang w:val="es-CO"/>
        </w:rPr>
        <w:t>El Consejo Nacional de la Magistratura ha concluido (…) de que mi persona no ha cometido ningún ilícito penal sino de una falta de carácter administrativo (…) y como quiera que ha investigado el Tribunal máximo de justicia, por lo que merece dicho documento toda la credibilidad y validez legal del cual no se puede dudar</w:t>
      </w:r>
      <w:r w:rsidR="00456DA7" w:rsidRPr="00A65F4D">
        <w:rPr>
          <w:rFonts w:asciiTheme="majorHAnsi" w:hAnsiTheme="majorHAnsi"/>
          <w:sz w:val="20"/>
          <w:szCs w:val="20"/>
          <w:lang w:val="es-CO"/>
        </w:rPr>
        <w:t>; más aún que se trata de los mismos hechos</w:t>
      </w:r>
      <w:r w:rsidRPr="00A321D3">
        <w:rPr>
          <w:rStyle w:val="FootnoteReference"/>
          <w:rFonts w:asciiTheme="majorHAnsi" w:hAnsiTheme="majorHAnsi"/>
          <w:sz w:val="20"/>
          <w:szCs w:val="20"/>
          <w:lang w:val="es-CO"/>
        </w:rPr>
        <w:footnoteReference w:id="50"/>
      </w:r>
      <w:r w:rsidRPr="00A65F4D">
        <w:rPr>
          <w:rFonts w:asciiTheme="majorHAnsi" w:hAnsiTheme="majorHAnsi"/>
          <w:sz w:val="20"/>
          <w:szCs w:val="20"/>
          <w:lang w:val="es-CO"/>
        </w:rPr>
        <w:t xml:space="preserve">. </w:t>
      </w:r>
    </w:p>
    <w:p w14:paraId="5B03F045" w14:textId="77777777" w:rsidR="00A65F4D" w:rsidRDefault="00A65F4D"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41256D02" w14:textId="3B1B4C21" w:rsidR="00A65F4D" w:rsidRDefault="0036457E"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321D3">
        <w:rPr>
          <w:rFonts w:asciiTheme="majorHAnsi" w:hAnsiTheme="majorHAnsi"/>
          <w:sz w:val="20"/>
          <w:szCs w:val="20"/>
          <w:lang w:val="es-CO"/>
        </w:rPr>
        <w:t>El 23 de junio de 1998</w:t>
      </w:r>
      <w:r w:rsidR="00107E15" w:rsidRPr="00A321D3">
        <w:rPr>
          <w:rFonts w:asciiTheme="majorHAnsi" w:hAnsiTheme="majorHAnsi"/>
          <w:sz w:val="20"/>
          <w:szCs w:val="20"/>
          <w:lang w:val="es-CO"/>
        </w:rPr>
        <w:t xml:space="preserve"> </w:t>
      </w:r>
      <w:r w:rsidR="00F94712" w:rsidRPr="00A321D3">
        <w:rPr>
          <w:rFonts w:asciiTheme="majorHAnsi" w:hAnsiTheme="majorHAnsi"/>
          <w:sz w:val="20"/>
          <w:szCs w:val="20"/>
          <w:lang w:val="es-CO"/>
        </w:rPr>
        <w:t>la presunta víctima continuó su declaración instructiva. E</w:t>
      </w:r>
      <w:r w:rsidR="003916B5" w:rsidRPr="00A321D3">
        <w:rPr>
          <w:rFonts w:asciiTheme="majorHAnsi" w:hAnsiTheme="majorHAnsi"/>
          <w:sz w:val="20"/>
          <w:szCs w:val="20"/>
          <w:lang w:val="es-CO"/>
        </w:rPr>
        <w:t xml:space="preserve">n dicha oportunidad indicó que </w:t>
      </w:r>
      <w:r w:rsidR="00F94712" w:rsidRPr="00A321D3">
        <w:rPr>
          <w:rFonts w:asciiTheme="majorHAnsi" w:hAnsiTheme="majorHAnsi"/>
          <w:sz w:val="20"/>
          <w:szCs w:val="20"/>
          <w:lang w:val="es-CO"/>
        </w:rPr>
        <w:t xml:space="preserve">si bien fue presionado para otorgar la libertad incondicional, agregó que “mi resolución de libertad incondicional se ha basado en hechos concreto (sic) y reales </w:t>
      </w:r>
      <w:r w:rsidR="00107E15" w:rsidRPr="00A321D3">
        <w:rPr>
          <w:rFonts w:asciiTheme="majorHAnsi" w:hAnsiTheme="majorHAnsi"/>
          <w:sz w:val="20"/>
          <w:szCs w:val="20"/>
          <w:lang w:val="es-CO"/>
        </w:rPr>
        <w:t>en actuaciones humanas, pruebas objetivas y determinables que generalmente han sido susceptibles de ser probados, habiendo valorado las pruebas”</w:t>
      </w:r>
      <w:r w:rsidR="00F272C6" w:rsidRPr="00A321D3">
        <w:rPr>
          <w:rStyle w:val="FootnoteReference"/>
          <w:rFonts w:asciiTheme="majorHAnsi" w:hAnsiTheme="majorHAnsi"/>
          <w:sz w:val="20"/>
          <w:szCs w:val="20"/>
          <w:lang w:val="es-CO"/>
        </w:rPr>
        <w:footnoteReference w:id="51"/>
      </w:r>
      <w:r w:rsidR="00107E15" w:rsidRPr="00A321D3">
        <w:rPr>
          <w:rFonts w:asciiTheme="majorHAnsi" w:hAnsiTheme="majorHAnsi"/>
          <w:sz w:val="20"/>
          <w:szCs w:val="20"/>
          <w:lang w:val="es-CO"/>
        </w:rPr>
        <w:t xml:space="preserve">. </w:t>
      </w:r>
    </w:p>
    <w:p w14:paraId="53D3B11B" w14:textId="77777777" w:rsidR="00A65F4D" w:rsidRDefault="00A65F4D"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7B3E284E" w14:textId="77777777" w:rsidR="008938E1" w:rsidRPr="008938E1" w:rsidRDefault="001C286E"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65F4D">
        <w:rPr>
          <w:rFonts w:asciiTheme="majorHAnsi" w:hAnsiTheme="majorHAnsi"/>
          <w:sz w:val="20"/>
          <w:szCs w:val="20"/>
          <w:lang w:val="es-CO"/>
        </w:rPr>
        <w:t>El 11 de junio de 1999 el Fiscal Superior acusó a la presunta víctima y solicitó que se le impusieran 10 años de pena privativa de la libertad</w:t>
      </w:r>
      <w:r w:rsidRPr="00A321D3">
        <w:rPr>
          <w:rStyle w:val="FootnoteReference"/>
          <w:rFonts w:asciiTheme="majorHAnsi" w:hAnsiTheme="majorHAnsi"/>
          <w:sz w:val="20"/>
          <w:szCs w:val="20"/>
          <w:lang w:val="es-CO"/>
        </w:rPr>
        <w:footnoteReference w:id="52"/>
      </w:r>
      <w:r w:rsidRPr="00A65F4D">
        <w:rPr>
          <w:rFonts w:asciiTheme="majorHAnsi" w:hAnsiTheme="majorHAnsi"/>
          <w:sz w:val="20"/>
          <w:szCs w:val="20"/>
          <w:lang w:val="es-CO"/>
        </w:rPr>
        <w:t>.</w:t>
      </w:r>
    </w:p>
    <w:p w14:paraId="1A9D2DD3" w14:textId="77777777" w:rsidR="008938E1" w:rsidRPr="008938E1" w:rsidRDefault="008938E1"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p>
    <w:p w14:paraId="1AF3CA4D" w14:textId="77777777" w:rsidR="00B31F88" w:rsidRPr="00A321D3" w:rsidRDefault="00B31F88" w:rsidP="00975184">
      <w:pPr>
        <w:pStyle w:val="Heading3"/>
        <w:keepLines w:val="0"/>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before="0"/>
        <w:ind w:left="720" w:firstLine="0"/>
        <w:rPr>
          <w:rFonts w:eastAsia="Times New Roman" w:cs="Arial"/>
          <w:color w:val="auto"/>
          <w:sz w:val="20"/>
          <w:szCs w:val="20"/>
          <w:bdr w:val="none" w:sz="0" w:space="0" w:color="auto"/>
          <w:lang w:val="es-VE"/>
        </w:rPr>
      </w:pPr>
      <w:bookmarkStart w:id="28" w:name="_Toc514247641"/>
      <w:r w:rsidRPr="00A321D3">
        <w:rPr>
          <w:rFonts w:eastAsia="Times New Roman" w:cs="Arial"/>
          <w:color w:val="auto"/>
          <w:sz w:val="20"/>
          <w:szCs w:val="20"/>
          <w:bdr w:val="none" w:sz="0" w:space="0" w:color="auto"/>
          <w:lang w:val="es-VE"/>
        </w:rPr>
        <w:t>Primera Sentencia</w:t>
      </w:r>
      <w:bookmarkEnd w:id="28"/>
      <w:r w:rsidRPr="00A321D3">
        <w:rPr>
          <w:rFonts w:eastAsia="Times New Roman" w:cs="Arial"/>
          <w:color w:val="auto"/>
          <w:sz w:val="20"/>
          <w:szCs w:val="20"/>
          <w:bdr w:val="none" w:sz="0" w:space="0" w:color="auto"/>
          <w:lang w:val="es-VE"/>
        </w:rPr>
        <w:t xml:space="preserve"> </w:t>
      </w:r>
    </w:p>
    <w:p w14:paraId="15A4ACDD" w14:textId="77777777" w:rsidR="008938E1" w:rsidRDefault="008938E1"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6988594C" w14:textId="77777777" w:rsidR="008938E1" w:rsidRDefault="001C286E"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321D3">
        <w:rPr>
          <w:rFonts w:asciiTheme="majorHAnsi" w:hAnsiTheme="majorHAnsi"/>
          <w:sz w:val="20"/>
          <w:szCs w:val="20"/>
          <w:lang w:val="es-CO"/>
        </w:rPr>
        <w:t>El 24 de septiembre de 1999 la Corte Superior de Justicia de Huánuco-Pasco emitió sentencia absolviendo al señor Cordero Bernal por el delito de encubrimiento personal y condenándolo por el delito de prevaricato a cuatro años de pena privativa de la libertad</w:t>
      </w:r>
      <w:r w:rsidRPr="00A321D3">
        <w:rPr>
          <w:rStyle w:val="FootnoteReference"/>
          <w:rFonts w:asciiTheme="majorHAnsi" w:hAnsiTheme="majorHAnsi"/>
          <w:sz w:val="20"/>
          <w:szCs w:val="20"/>
          <w:lang w:val="es-CO"/>
        </w:rPr>
        <w:footnoteReference w:id="53"/>
      </w:r>
      <w:r w:rsidRPr="00A321D3">
        <w:rPr>
          <w:rFonts w:asciiTheme="majorHAnsi" w:hAnsiTheme="majorHAnsi"/>
          <w:sz w:val="20"/>
          <w:szCs w:val="20"/>
          <w:lang w:val="es-CO"/>
        </w:rPr>
        <w:t>.</w:t>
      </w:r>
      <w:r w:rsidR="00390C51" w:rsidRPr="00A321D3">
        <w:rPr>
          <w:rFonts w:asciiTheme="majorHAnsi" w:hAnsiTheme="majorHAnsi"/>
          <w:sz w:val="20"/>
          <w:szCs w:val="20"/>
          <w:lang w:val="es-CO"/>
        </w:rPr>
        <w:t xml:space="preserve"> En particular respecto del delito de prevaricato, el tribunal consideró que:</w:t>
      </w:r>
    </w:p>
    <w:p w14:paraId="2ED6AF99" w14:textId="77777777" w:rsidR="008938E1" w:rsidRDefault="008938E1"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firstLine="0"/>
        <w:jc w:val="both"/>
        <w:rPr>
          <w:rFonts w:asciiTheme="majorHAnsi" w:hAnsiTheme="majorHAnsi"/>
          <w:sz w:val="20"/>
          <w:szCs w:val="20"/>
          <w:lang w:val="es-CO"/>
        </w:rPr>
      </w:pPr>
    </w:p>
    <w:p w14:paraId="7D1B4523" w14:textId="3AEC55D9" w:rsidR="00390C51" w:rsidRPr="008938E1" w:rsidRDefault="00932942"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s-CO"/>
        </w:rPr>
      </w:pPr>
      <w:r w:rsidRPr="008938E1">
        <w:rPr>
          <w:rFonts w:asciiTheme="majorHAnsi" w:hAnsiTheme="majorHAnsi"/>
          <w:sz w:val="20"/>
          <w:szCs w:val="20"/>
          <w:lang w:val="es-CO"/>
        </w:rPr>
        <w:t>La conducta del ex Juez (…) se encuentra enmarcada dentro de dicho tipo penal por cuanto en el proceso (…)</w:t>
      </w:r>
      <w:r w:rsidR="00051110">
        <w:rPr>
          <w:rFonts w:asciiTheme="majorHAnsi" w:hAnsiTheme="majorHAnsi"/>
          <w:sz w:val="20"/>
          <w:szCs w:val="20"/>
          <w:lang w:val="es-CO"/>
        </w:rPr>
        <w:t xml:space="preserve"> </w:t>
      </w:r>
      <w:r w:rsidRPr="008938E1">
        <w:rPr>
          <w:rFonts w:asciiTheme="majorHAnsi" w:hAnsiTheme="majorHAnsi"/>
          <w:sz w:val="20"/>
          <w:szCs w:val="20"/>
          <w:lang w:val="es-CO"/>
        </w:rPr>
        <w:t>seguido por el delito de tráfico ilícito de drogas, en agravio del Estado, pese a existir indicios suficientes que apuntaban a la responsabilidad de los procesados les concedió liber</w:t>
      </w:r>
      <w:r w:rsidR="00830B9B" w:rsidRPr="008938E1">
        <w:rPr>
          <w:rFonts w:asciiTheme="majorHAnsi" w:hAnsiTheme="majorHAnsi"/>
          <w:sz w:val="20"/>
          <w:szCs w:val="20"/>
          <w:lang w:val="es-CO"/>
        </w:rPr>
        <w:t>t</w:t>
      </w:r>
      <w:r w:rsidRPr="008938E1">
        <w:rPr>
          <w:rFonts w:asciiTheme="majorHAnsi" w:hAnsiTheme="majorHAnsi"/>
          <w:sz w:val="20"/>
          <w:szCs w:val="20"/>
          <w:lang w:val="es-CO"/>
        </w:rPr>
        <w:t>ad incondicional (…) con argumentos totalmente deleznables (…)</w:t>
      </w:r>
      <w:r w:rsidRPr="00A321D3">
        <w:rPr>
          <w:rStyle w:val="FootnoteReference"/>
          <w:rFonts w:asciiTheme="majorHAnsi" w:hAnsiTheme="majorHAnsi"/>
          <w:sz w:val="20"/>
          <w:szCs w:val="20"/>
          <w:lang w:val="es-CO"/>
        </w:rPr>
        <w:footnoteReference w:id="54"/>
      </w:r>
      <w:r w:rsidRPr="008938E1">
        <w:rPr>
          <w:rFonts w:asciiTheme="majorHAnsi" w:hAnsiTheme="majorHAnsi"/>
          <w:sz w:val="20"/>
          <w:szCs w:val="20"/>
          <w:lang w:val="es-CO"/>
        </w:rPr>
        <w:t xml:space="preserve">. </w:t>
      </w:r>
    </w:p>
    <w:p w14:paraId="1A3857A3" w14:textId="77777777" w:rsidR="008938E1" w:rsidRDefault="008938E1"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7E86CEDE" w14:textId="77777777" w:rsidR="008938E1" w:rsidRDefault="001C286E"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321D3">
        <w:rPr>
          <w:rFonts w:asciiTheme="majorHAnsi" w:hAnsiTheme="majorHAnsi"/>
          <w:sz w:val="20"/>
          <w:szCs w:val="20"/>
          <w:lang w:val="es-CO"/>
        </w:rPr>
        <w:t>La anterior decisión fue apelada por la presunta víctima y por la Fiscalía</w:t>
      </w:r>
      <w:r w:rsidRPr="00A321D3">
        <w:rPr>
          <w:rStyle w:val="FootnoteReference"/>
          <w:rFonts w:asciiTheme="majorHAnsi" w:hAnsiTheme="majorHAnsi"/>
          <w:sz w:val="20"/>
          <w:szCs w:val="20"/>
          <w:lang w:val="es-CO"/>
        </w:rPr>
        <w:footnoteReference w:id="55"/>
      </w:r>
      <w:r w:rsidRPr="00A321D3">
        <w:rPr>
          <w:rFonts w:asciiTheme="majorHAnsi" w:hAnsiTheme="majorHAnsi"/>
          <w:sz w:val="20"/>
          <w:szCs w:val="20"/>
          <w:lang w:val="es-CO"/>
        </w:rPr>
        <w:t>. Asimismo, la Procuraduría Pública interpuso recurso de nulidad</w:t>
      </w:r>
      <w:r w:rsidRPr="00A321D3">
        <w:rPr>
          <w:rStyle w:val="FootnoteReference"/>
          <w:rFonts w:asciiTheme="majorHAnsi" w:hAnsiTheme="majorHAnsi"/>
          <w:sz w:val="20"/>
          <w:szCs w:val="20"/>
          <w:lang w:val="es-CO"/>
        </w:rPr>
        <w:footnoteReference w:id="56"/>
      </w:r>
      <w:r w:rsidRPr="00A321D3">
        <w:rPr>
          <w:rFonts w:asciiTheme="majorHAnsi" w:hAnsiTheme="majorHAnsi"/>
          <w:sz w:val="20"/>
          <w:szCs w:val="20"/>
          <w:lang w:val="es-CO"/>
        </w:rPr>
        <w:t xml:space="preserve">. </w:t>
      </w:r>
    </w:p>
    <w:p w14:paraId="14BB25DE" w14:textId="77777777" w:rsidR="008938E1" w:rsidRDefault="008938E1"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2422DC7C" w14:textId="77777777" w:rsidR="001050CB" w:rsidRDefault="001050CB"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687146CE" w14:textId="77777777" w:rsidR="001050CB" w:rsidRDefault="001050CB"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5CAA21B5" w14:textId="5B12F5D7" w:rsidR="00C456B6" w:rsidRDefault="001C286E"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8938E1">
        <w:rPr>
          <w:rFonts w:asciiTheme="majorHAnsi" w:hAnsiTheme="majorHAnsi"/>
          <w:sz w:val="20"/>
          <w:szCs w:val="20"/>
          <w:lang w:val="es-CO"/>
        </w:rPr>
        <w:t>El 15 de diciembre de 1999 en segunda instancia se declaró nula la referida sentencia y se ordenó emitir nueva sentencia sobre el fondo de la materia, por considerar que no se efectuó un análisis de todo el conjunto probatorio obrante en el expediente</w:t>
      </w:r>
      <w:r w:rsidR="0096697A" w:rsidRPr="008938E1">
        <w:rPr>
          <w:rFonts w:asciiTheme="majorHAnsi" w:hAnsiTheme="majorHAnsi"/>
          <w:sz w:val="20"/>
          <w:szCs w:val="20"/>
          <w:lang w:val="es-CO"/>
        </w:rPr>
        <w:t xml:space="preserve"> por lo que declaró</w:t>
      </w:r>
      <w:r w:rsidR="004304A9" w:rsidRPr="008938E1">
        <w:rPr>
          <w:rFonts w:asciiTheme="majorHAnsi" w:hAnsiTheme="majorHAnsi"/>
          <w:sz w:val="20"/>
          <w:szCs w:val="20"/>
          <w:lang w:val="es-CO"/>
        </w:rPr>
        <w:t xml:space="preserve"> nula la sentencia “en cuanto falla absolviendo a Héctor Fidel Cordero Bernal de la acusación fiscal que le resulta por el delito de Encubrimiento Personal en agravio del Estado”</w:t>
      </w:r>
      <w:r w:rsidRPr="00A321D3">
        <w:rPr>
          <w:rStyle w:val="FootnoteReference"/>
          <w:rFonts w:asciiTheme="majorHAnsi" w:hAnsiTheme="majorHAnsi"/>
          <w:sz w:val="20"/>
          <w:szCs w:val="20"/>
          <w:lang w:val="es-CO"/>
        </w:rPr>
        <w:footnoteReference w:id="57"/>
      </w:r>
      <w:r w:rsidR="00237839" w:rsidRPr="008938E1">
        <w:rPr>
          <w:rFonts w:asciiTheme="majorHAnsi" w:hAnsiTheme="majorHAnsi"/>
          <w:sz w:val="20"/>
          <w:szCs w:val="20"/>
          <w:lang w:val="es-CO"/>
        </w:rPr>
        <w:t>.</w:t>
      </w:r>
    </w:p>
    <w:p w14:paraId="016E0DB4" w14:textId="77777777" w:rsidR="00051110" w:rsidRPr="00051110" w:rsidRDefault="00051110"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0"/>
        <w:jc w:val="both"/>
        <w:rPr>
          <w:rFonts w:asciiTheme="majorHAnsi" w:hAnsiTheme="majorHAnsi"/>
          <w:sz w:val="20"/>
          <w:szCs w:val="20"/>
          <w:lang w:val="es-CO"/>
        </w:rPr>
      </w:pPr>
    </w:p>
    <w:p w14:paraId="05DBF373" w14:textId="77777777" w:rsidR="00B31F88" w:rsidRPr="00A321D3" w:rsidRDefault="00B31F88" w:rsidP="00975184">
      <w:pPr>
        <w:pStyle w:val="Heading3"/>
        <w:keepLines w:val="0"/>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s>
        <w:spacing w:before="0"/>
        <w:ind w:left="720" w:firstLine="0"/>
        <w:rPr>
          <w:rFonts w:eastAsia="Times New Roman" w:cs="Arial"/>
          <w:color w:val="auto"/>
          <w:sz w:val="20"/>
          <w:szCs w:val="20"/>
          <w:bdr w:val="none" w:sz="0" w:space="0" w:color="auto"/>
          <w:lang w:val="es-VE"/>
        </w:rPr>
      </w:pPr>
      <w:bookmarkStart w:id="29" w:name="_Toc514247642"/>
      <w:r w:rsidRPr="00A321D3">
        <w:rPr>
          <w:rFonts w:eastAsia="Times New Roman" w:cs="Arial"/>
          <w:color w:val="auto"/>
          <w:sz w:val="20"/>
          <w:szCs w:val="20"/>
          <w:bdr w:val="none" w:sz="0" w:space="0" w:color="auto"/>
          <w:lang w:val="es-VE"/>
        </w:rPr>
        <w:t>Segunda Sentencia</w:t>
      </w:r>
      <w:bookmarkEnd w:id="29"/>
      <w:r w:rsidRPr="00A321D3">
        <w:rPr>
          <w:rFonts w:eastAsia="Times New Roman" w:cs="Arial"/>
          <w:color w:val="auto"/>
          <w:sz w:val="20"/>
          <w:szCs w:val="20"/>
          <w:bdr w:val="none" w:sz="0" w:space="0" w:color="auto"/>
          <w:lang w:val="es-VE"/>
        </w:rPr>
        <w:t xml:space="preserve"> </w:t>
      </w:r>
    </w:p>
    <w:p w14:paraId="62173C52" w14:textId="77777777" w:rsidR="008938E1" w:rsidRDefault="008938E1"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307202D0" w14:textId="77777777" w:rsidR="008938E1" w:rsidRDefault="001C286E"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321D3">
        <w:rPr>
          <w:rFonts w:asciiTheme="majorHAnsi" w:hAnsiTheme="majorHAnsi"/>
          <w:sz w:val="20"/>
          <w:szCs w:val="20"/>
          <w:lang w:val="es-CO"/>
        </w:rPr>
        <w:t xml:space="preserve">El 21 de enero del 2000 la Corte Superior de Justicia de Huánuco-Pasco emitió nueva sentencia absolviendo a la presunta víctima por el delito de encubrimiento personal y condenándolo por el delito de prevaricato, </w:t>
      </w:r>
      <w:r w:rsidR="00C1021C" w:rsidRPr="00A321D3">
        <w:rPr>
          <w:rFonts w:asciiTheme="majorHAnsi" w:hAnsiTheme="majorHAnsi"/>
          <w:sz w:val="20"/>
          <w:szCs w:val="20"/>
          <w:lang w:val="es-CO"/>
        </w:rPr>
        <w:t>luego de enlistar y realizar un análisis</w:t>
      </w:r>
      <w:r w:rsidRPr="00A321D3">
        <w:rPr>
          <w:rFonts w:asciiTheme="majorHAnsi" w:hAnsiTheme="majorHAnsi"/>
          <w:sz w:val="20"/>
          <w:szCs w:val="20"/>
          <w:lang w:val="es-CO"/>
        </w:rPr>
        <w:t xml:space="preserve"> del material probatorio</w:t>
      </w:r>
      <w:r w:rsidRPr="00A321D3">
        <w:rPr>
          <w:rFonts w:asciiTheme="majorHAnsi" w:hAnsiTheme="majorHAnsi"/>
          <w:sz w:val="20"/>
          <w:szCs w:val="20"/>
          <w:vertAlign w:val="superscript"/>
        </w:rPr>
        <w:footnoteReference w:id="58"/>
      </w:r>
      <w:r w:rsidR="00B31F88" w:rsidRPr="00A321D3">
        <w:rPr>
          <w:rFonts w:asciiTheme="majorHAnsi" w:hAnsiTheme="majorHAnsi"/>
          <w:sz w:val="20"/>
          <w:szCs w:val="20"/>
          <w:lang w:val="es-CO"/>
        </w:rPr>
        <w:t>.</w:t>
      </w:r>
    </w:p>
    <w:p w14:paraId="20E2A40E" w14:textId="77777777" w:rsidR="008938E1" w:rsidRDefault="008938E1"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31BC734C" w14:textId="77777777" w:rsidR="00C1021C" w:rsidRDefault="001C286E"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8938E1">
        <w:rPr>
          <w:rFonts w:asciiTheme="majorHAnsi" w:hAnsiTheme="majorHAnsi"/>
          <w:sz w:val="20"/>
          <w:szCs w:val="20"/>
          <w:lang w:val="es-CO"/>
        </w:rPr>
        <w:t>Nuevamente la decisión fue apelada</w:t>
      </w:r>
      <w:r w:rsidRPr="00A321D3">
        <w:rPr>
          <w:rStyle w:val="FootnoteReference"/>
          <w:rFonts w:asciiTheme="majorHAnsi" w:hAnsiTheme="majorHAnsi"/>
          <w:sz w:val="20"/>
          <w:szCs w:val="20"/>
          <w:lang w:val="es-CO"/>
        </w:rPr>
        <w:footnoteReference w:id="59"/>
      </w:r>
      <w:r w:rsidRPr="008938E1">
        <w:rPr>
          <w:rFonts w:asciiTheme="majorHAnsi" w:hAnsiTheme="majorHAnsi"/>
          <w:sz w:val="20"/>
          <w:szCs w:val="20"/>
          <w:lang w:val="es-CO"/>
        </w:rPr>
        <w:t>. El 31 de marzo del 2000 en segunda instancia se declaró nula la referida sentencia y se ordenó emitir nueva sentencia</w:t>
      </w:r>
      <w:r w:rsidR="00784139" w:rsidRPr="008938E1">
        <w:rPr>
          <w:rFonts w:asciiTheme="majorHAnsi" w:hAnsiTheme="majorHAnsi"/>
          <w:sz w:val="20"/>
          <w:szCs w:val="20"/>
          <w:lang w:val="es-CO"/>
        </w:rPr>
        <w:t xml:space="preserve"> por estimar que “no se ha realizado un exhaustivo análisis de las diligencias actuadas en las mismos (sic), más aún teniendo en consideración que los cargos imputados derivan de un proceso por Tráfico Ilícito de Drogas que por su gravedad requiere un mejor estudio de autos”</w:t>
      </w:r>
      <w:r w:rsidRPr="00A321D3">
        <w:rPr>
          <w:rStyle w:val="FootnoteReference"/>
          <w:rFonts w:asciiTheme="majorHAnsi" w:hAnsiTheme="majorHAnsi"/>
          <w:sz w:val="20"/>
          <w:szCs w:val="20"/>
          <w:lang w:val="es-CO"/>
        </w:rPr>
        <w:footnoteReference w:id="60"/>
      </w:r>
      <w:r w:rsidRPr="008938E1">
        <w:rPr>
          <w:rFonts w:asciiTheme="majorHAnsi" w:hAnsiTheme="majorHAnsi"/>
          <w:sz w:val="20"/>
          <w:szCs w:val="20"/>
          <w:lang w:val="es-CO"/>
        </w:rPr>
        <w:t>.</w:t>
      </w:r>
    </w:p>
    <w:p w14:paraId="45146DD3" w14:textId="77777777" w:rsidR="00C364C3" w:rsidRPr="008938E1" w:rsidRDefault="00C364C3" w:rsidP="00C364C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p>
    <w:p w14:paraId="259FE5A8" w14:textId="77777777" w:rsidR="00C1021C" w:rsidRPr="00A321D3" w:rsidRDefault="00C1021C" w:rsidP="00975184">
      <w:pPr>
        <w:pStyle w:val="Heading3"/>
        <w:keepLines w:val="0"/>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720"/>
          <w:tab w:val="left" w:pos="1440"/>
        </w:tabs>
        <w:spacing w:before="0"/>
        <w:ind w:left="720" w:firstLine="0"/>
        <w:jc w:val="both"/>
        <w:rPr>
          <w:sz w:val="20"/>
          <w:szCs w:val="20"/>
          <w:lang w:val="es-CO"/>
        </w:rPr>
      </w:pPr>
      <w:bookmarkStart w:id="30" w:name="_Toc514247643"/>
      <w:r w:rsidRPr="00A321D3">
        <w:rPr>
          <w:rFonts w:eastAsia="Times New Roman" w:cs="Arial"/>
          <w:color w:val="auto"/>
          <w:sz w:val="20"/>
          <w:szCs w:val="20"/>
          <w:bdr w:val="none" w:sz="0" w:space="0" w:color="auto"/>
          <w:lang w:val="es-VE"/>
        </w:rPr>
        <w:t>Tercera Sentencia</w:t>
      </w:r>
      <w:bookmarkEnd w:id="30"/>
      <w:r w:rsidRPr="00A321D3">
        <w:rPr>
          <w:rFonts w:eastAsia="Times New Roman" w:cs="Arial"/>
          <w:color w:val="auto"/>
          <w:sz w:val="20"/>
          <w:szCs w:val="20"/>
          <w:bdr w:val="none" w:sz="0" w:space="0" w:color="auto"/>
          <w:lang w:val="es-VE"/>
        </w:rPr>
        <w:t xml:space="preserve"> </w:t>
      </w:r>
    </w:p>
    <w:p w14:paraId="023A169B" w14:textId="77777777" w:rsidR="008938E1" w:rsidRDefault="008938E1"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0981F11C" w14:textId="77777777" w:rsidR="008938E1" w:rsidRDefault="001C286E"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321D3">
        <w:rPr>
          <w:rFonts w:asciiTheme="majorHAnsi" w:hAnsiTheme="majorHAnsi"/>
          <w:sz w:val="20"/>
          <w:szCs w:val="20"/>
          <w:lang w:val="es-CO"/>
        </w:rPr>
        <w:t>El 19 de julio del 2000 la Corte Superior de Justicia de Huánuco-Pasco emitió nueva sentencia absolviendo a la presunta víctima por el delito de encubrimiento personal y condenándolo por el delito de prevaricato</w:t>
      </w:r>
      <w:r w:rsidR="0068220E" w:rsidRPr="00A321D3">
        <w:rPr>
          <w:rFonts w:asciiTheme="majorHAnsi" w:hAnsiTheme="majorHAnsi"/>
          <w:sz w:val="20"/>
          <w:szCs w:val="20"/>
          <w:lang w:val="es-CO"/>
        </w:rPr>
        <w:t xml:space="preserve"> a tres años de pena privativa de libertad por los mismos fundamentos indicados en los párrafos anteriores</w:t>
      </w:r>
      <w:r w:rsidRPr="00A321D3">
        <w:rPr>
          <w:rStyle w:val="FootnoteReference"/>
          <w:rFonts w:asciiTheme="majorHAnsi" w:hAnsiTheme="majorHAnsi"/>
          <w:sz w:val="20"/>
          <w:szCs w:val="20"/>
          <w:lang w:val="es-CO"/>
        </w:rPr>
        <w:footnoteReference w:id="61"/>
      </w:r>
      <w:r w:rsidRPr="00A321D3">
        <w:rPr>
          <w:rFonts w:asciiTheme="majorHAnsi" w:hAnsiTheme="majorHAnsi"/>
          <w:sz w:val="20"/>
          <w:szCs w:val="20"/>
          <w:lang w:val="es-CO"/>
        </w:rPr>
        <w:t>.</w:t>
      </w:r>
    </w:p>
    <w:p w14:paraId="590B6683" w14:textId="77777777" w:rsidR="008938E1" w:rsidRDefault="008938E1"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256887EC" w14:textId="77777777" w:rsidR="00B72BCF" w:rsidRDefault="001C286E"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8938E1">
        <w:rPr>
          <w:rFonts w:asciiTheme="majorHAnsi" w:hAnsiTheme="majorHAnsi"/>
          <w:sz w:val="20"/>
          <w:szCs w:val="20"/>
          <w:lang w:val="es-CO"/>
        </w:rPr>
        <w:t xml:space="preserve"> </w:t>
      </w:r>
      <w:r w:rsidR="00EC10B6" w:rsidRPr="008938E1">
        <w:rPr>
          <w:rFonts w:asciiTheme="majorHAnsi" w:hAnsiTheme="majorHAnsi"/>
          <w:sz w:val="20"/>
          <w:szCs w:val="20"/>
          <w:lang w:val="es-CO"/>
        </w:rPr>
        <w:t>L</w:t>
      </w:r>
      <w:r w:rsidRPr="008938E1">
        <w:rPr>
          <w:rFonts w:asciiTheme="majorHAnsi" w:hAnsiTheme="majorHAnsi"/>
          <w:sz w:val="20"/>
          <w:szCs w:val="20"/>
          <w:lang w:val="es-CO"/>
        </w:rPr>
        <w:t>a decisión</w:t>
      </w:r>
      <w:r w:rsidR="00EC10B6" w:rsidRPr="008938E1">
        <w:rPr>
          <w:rFonts w:asciiTheme="majorHAnsi" w:hAnsiTheme="majorHAnsi"/>
          <w:sz w:val="20"/>
          <w:szCs w:val="20"/>
          <w:lang w:val="es-CO"/>
        </w:rPr>
        <w:t xml:space="preserve"> anterior</w:t>
      </w:r>
      <w:r w:rsidRPr="008938E1">
        <w:rPr>
          <w:rFonts w:asciiTheme="majorHAnsi" w:hAnsiTheme="majorHAnsi"/>
          <w:sz w:val="20"/>
          <w:szCs w:val="20"/>
          <w:lang w:val="es-CO"/>
        </w:rPr>
        <w:t xml:space="preserve"> fue apelada</w:t>
      </w:r>
      <w:r w:rsidRPr="00A321D3">
        <w:rPr>
          <w:rStyle w:val="FootnoteReference"/>
          <w:rFonts w:asciiTheme="majorHAnsi" w:hAnsiTheme="majorHAnsi"/>
          <w:sz w:val="20"/>
          <w:szCs w:val="20"/>
          <w:lang w:val="es-CO"/>
        </w:rPr>
        <w:footnoteReference w:id="62"/>
      </w:r>
      <w:r w:rsidRPr="008938E1">
        <w:rPr>
          <w:rFonts w:asciiTheme="majorHAnsi" w:hAnsiTheme="majorHAnsi"/>
          <w:sz w:val="20"/>
          <w:szCs w:val="20"/>
          <w:lang w:val="es-CO"/>
        </w:rPr>
        <w:t>. El 26 de septiembre del mismo año, en segunda instancia se declaró nula la referida sentencia y se ordenó emitir nueva sentencia sobre el fondo</w:t>
      </w:r>
      <w:r w:rsidR="00281002" w:rsidRPr="008938E1">
        <w:rPr>
          <w:rFonts w:asciiTheme="majorHAnsi" w:hAnsiTheme="majorHAnsi"/>
          <w:sz w:val="20"/>
          <w:szCs w:val="20"/>
          <w:lang w:val="es-CO"/>
        </w:rPr>
        <w:t xml:space="preserve"> por considerar que “del texto de la sentencia, se advierte de sus considerandos, que la Magistrada menciona que no es aplicable al Juzgador el artículo cuatrocientos cuatro del Código Penal en su última parte, quien cumplía una función netamente jurisdiccional, lo cual en todo caso, debió de fundamentar con las razones legales o de derecho en que se apoya (…)”</w:t>
      </w:r>
      <w:r w:rsidRPr="00A321D3">
        <w:rPr>
          <w:rStyle w:val="FootnoteReference"/>
          <w:rFonts w:asciiTheme="majorHAnsi" w:hAnsiTheme="majorHAnsi"/>
          <w:sz w:val="20"/>
          <w:szCs w:val="20"/>
          <w:lang w:val="es-CO"/>
        </w:rPr>
        <w:footnoteReference w:id="63"/>
      </w:r>
      <w:r w:rsidRPr="008938E1">
        <w:rPr>
          <w:rFonts w:asciiTheme="majorHAnsi" w:hAnsiTheme="majorHAnsi"/>
          <w:sz w:val="20"/>
          <w:szCs w:val="20"/>
          <w:lang w:val="es-CO"/>
        </w:rPr>
        <w:t>.</w:t>
      </w:r>
      <w:r w:rsidR="00281002" w:rsidRPr="008938E1">
        <w:rPr>
          <w:rFonts w:asciiTheme="majorHAnsi" w:hAnsiTheme="majorHAnsi"/>
          <w:sz w:val="20"/>
          <w:szCs w:val="20"/>
          <w:lang w:val="es-CO"/>
        </w:rPr>
        <w:t xml:space="preserve"> Asimismo indicó que “debe tenerse en cuenta la proporcionalidad de la pena con la magnitud o gravedad del hecho punible cometido”</w:t>
      </w:r>
      <w:r w:rsidR="00281002" w:rsidRPr="008938E1">
        <w:rPr>
          <w:rStyle w:val="FootnoteReference"/>
          <w:rFonts w:asciiTheme="majorHAnsi" w:hAnsiTheme="majorHAnsi"/>
          <w:sz w:val="20"/>
          <w:szCs w:val="20"/>
          <w:lang w:val="es-CO"/>
        </w:rPr>
        <w:t xml:space="preserve"> </w:t>
      </w:r>
      <w:r w:rsidR="00281002" w:rsidRPr="00A321D3">
        <w:rPr>
          <w:rStyle w:val="FootnoteReference"/>
          <w:rFonts w:asciiTheme="majorHAnsi" w:hAnsiTheme="majorHAnsi"/>
          <w:sz w:val="20"/>
          <w:szCs w:val="20"/>
          <w:lang w:val="es-CO"/>
        </w:rPr>
        <w:footnoteReference w:id="64"/>
      </w:r>
      <w:r w:rsidR="00281002" w:rsidRPr="008938E1">
        <w:rPr>
          <w:rFonts w:asciiTheme="majorHAnsi" w:hAnsiTheme="majorHAnsi"/>
          <w:sz w:val="20"/>
          <w:szCs w:val="20"/>
          <w:lang w:val="es-CO"/>
        </w:rPr>
        <w:t xml:space="preserve">. </w:t>
      </w:r>
    </w:p>
    <w:p w14:paraId="4E47FF8A" w14:textId="77777777" w:rsidR="00C364C3" w:rsidRPr="008938E1" w:rsidRDefault="00C364C3" w:rsidP="00C364C3">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es-CO"/>
        </w:rPr>
      </w:pPr>
    </w:p>
    <w:p w14:paraId="36333935" w14:textId="77777777" w:rsidR="009805DC" w:rsidRPr="00A321D3" w:rsidRDefault="009805DC" w:rsidP="00975184">
      <w:pPr>
        <w:pStyle w:val="Heading3"/>
        <w:keepLines w:val="0"/>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1800"/>
          <w:tab w:val="left" w:pos="720"/>
          <w:tab w:val="left" w:pos="1440"/>
        </w:tabs>
        <w:spacing w:before="0"/>
        <w:ind w:left="720" w:firstLine="0"/>
        <w:jc w:val="both"/>
        <w:rPr>
          <w:sz w:val="20"/>
          <w:szCs w:val="20"/>
          <w:lang w:val="es-CO"/>
        </w:rPr>
      </w:pPr>
      <w:bookmarkStart w:id="31" w:name="_Toc514247644"/>
      <w:r w:rsidRPr="00A321D3">
        <w:rPr>
          <w:rFonts w:eastAsia="Times New Roman" w:cs="Arial"/>
          <w:color w:val="auto"/>
          <w:sz w:val="20"/>
          <w:szCs w:val="20"/>
          <w:bdr w:val="none" w:sz="0" w:space="0" w:color="auto"/>
          <w:lang w:val="es-VE"/>
        </w:rPr>
        <w:t>Cuarta Sentencia</w:t>
      </w:r>
      <w:bookmarkEnd w:id="31"/>
      <w:r w:rsidRPr="00A321D3">
        <w:rPr>
          <w:rFonts w:eastAsia="Times New Roman" w:cs="Arial"/>
          <w:color w:val="auto"/>
          <w:sz w:val="20"/>
          <w:szCs w:val="20"/>
          <w:bdr w:val="none" w:sz="0" w:space="0" w:color="auto"/>
          <w:lang w:val="es-VE"/>
        </w:rPr>
        <w:t xml:space="preserve"> </w:t>
      </w:r>
    </w:p>
    <w:p w14:paraId="6626833D" w14:textId="77777777" w:rsidR="008938E1" w:rsidRPr="008938E1" w:rsidRDefault="008938E1"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VE"/>
        </w:rPr>
      </w:pPr>
    </w:p>
    <w:p w14:paraId="6E85A4F5" w14:textId="77777777" w:rsidR="008938E1" w:rsidRPr="008938E1" w:rsidRDefault="001C286E"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A321D3">
        <w:rPr>
          <w:rFonts w:asciiTheme="majorHAnsi" w:hAnsiTheme="majorHAnsi"/>
          <w:sz w:val="20"/>
          <w:szCs w:val="20"/>
          <w:lang w:val="es-CO"/>
        </w:rPr>
        <w:t>El 21 de junio de 2005 la Corte Superior de Justicia de Huánuco-Pasco profirió sentencia absolviendo a la presunta víctima de ambos delitos y ordenó que se anularan sus antecedentes penales y policiales</w:t>
      </w:r>
      <w:r w:rsidRPr="00A321D3">
        <w:rPr>
          <w:rStyle w:val="FootnoteReference"/>
          <w:rFonts w:asciiTheme="majorHAnsi" w:hAnsiTheme="majorHAnsi"/>
          <w:sz w:val="20"/>
          <w:szCs w:val="20"/>
          <w:lang w:val="es-CO"/>
        </w:rPr>
        <w:footnoteReference w:id="65"/>
      </w:r>
      <w:r w:rsidRPr="00A321D3">
        <w:rPr>
          <w:rFonts w:asciiTheme="majorHAnsi" w:hAnsiTheme="majorHAnsi"/>
          <w:sz w:val="20"/>
          <w:szCs w:val="20"/>
          <w:lang w:val="es-CO"/>
        </w:rPr>
        <w:t>. Estimó que el señor Cordero Bernal actuó conforme a su criterio de conciencia apreciando los hechos del expediente judicial y que un magis</w:t>
      </w:r>
      <w:r w:rsidR="00454695" w:rsidRPr="00A321D3">
        <w:rPr>
          <w:rFonts w:asciiTheme="majorHAnsi" w:hAnsiTheme="majorHAnsi"/>
          <w:sz w:val="20"/>
          <w:szCs w:val="20"/>
          <w:lang w:val="es-CO"/>
        </w:rPr>
        <w:t>trado tiene plena independencia</w:t>
      </w:r>
      <w:r w:rsidRPr="00A321D3">
        <w:rPr>
          <w:rFonts w:asciiTheme="majorHAnsi" w:hAnsiTheme="majorHAnsi"/>
          <w:sz w:val="20"/>
          <w:szCs w:val="20"/>
          <w:lang w:val="es-CO"/>
        </w:rPr>
        <w:t xml:space="preserve"> cuando ejercita la función jurisdiccional</w:t>
      </w:r>
      <w:r w:rsidRPr="00A321D3">
        <w:rPr>
          <w:rStyle w:val="FootnoteReference"/>
          <w:rFonts w:asciiTheme="majorHAnsi" w:hAnsiTheme="majorHAnsi"/>
          <w:sz w:val="20"/>
          <w:szCs w:val="20"/>
          <w:lang w:val="es-CO"/>
        </w:rPr>
        <w:footnoteReference w:id="66"/>
      </w:r>
      <w:r w:rsidRPr="00A321D3">
        <w:rPr>
          <w:rFonts w:asciiTheme="majorHAnsi" w:hAnsiTheme="majorHAnsi"/>
          <w:sz w:val="20"/>
          <w:szCs w:val="20"/>
          <w:lang w:val="es-CO"/>
        </w:rPr>
        <w:t>. Asimismo, indicó que no se cumplieron los requisitos exigidos por los tipos penales para determinar la responsabilidad de la presunta víctima</w:t>
      </w:r>
      <w:r w:rsidRPr="00A321D3">
        <w:rPr>
          <w:rStyle w:val="FootnoteReference"/>
          <w:rFonts w:asciiTheme="majorHAnsi" w:hAnsiTheme="majorHAnsi"/>
          <w:sz w:val="20"/>
          <w:szCs w:val="20"/>
          <w:lang w:val="es-CO"/>
        </w:rPr>
        <w:footnoteReference w:id="67"/>
      </w:r>
      <w:r w:rsidRPr="00A321D3">
        <w:rPr>
          <w:rFonts w:asciiTheme="majorHAnsi" w:hAnsiTheme="majorHAnsi"/>
          <w:sz w:val="20"/>
          <w:szCs w:val="20"/>
          <w:lang w:val="es-CO"/>
        </w:rPr>
        <w:t>.</w:t>
      </w:r>
    </w:p>
    <w:p w14:paraId="18163721" w14:textId="77777777" w:rsidR="008938E1" w:rsidRDefault="008938E1"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VE"/>
        </w:rPr>
      </w:pPr>
    </w:p>
    <w:p w14:paraId="274DA4A9" w14:textId="77777777" w:rsidR="008938E1" w:rsidRPr="008938E1" w:rsidRDefault="001C286E"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8938E1">
        <w:rPr>
          <w:rFonts w:asciiTheme="majorHAnsi" w:hAnsiTheme="majorHAnsi"/>
          <w:sz w:val="20"/>
          <w:szCs w:val="20"/>
          <w:lang w:val="es-CO"/>
        </w:rPr>
        <w:t>La anterior decisión fue apelada por el Fiscal Superior el 12 de julio de 2005. Argumentó que la decisión debía declararse nula por considerar que la responsabilidad del acusado se encontraba acreditada</w:t>
      </w:r>
      <w:r w:rsidRPr="00A321D3">
        <w:rPr>
          <w:rStyle w:val="FootnoteReference"/>
          <w:rFonts w:asciiTheme="majorHAnsi" w:hAnsiTheme="majorHAnsi"/>
          <w:sz w:val="20"/>
          <w:szCs w:val="20"/>
          <w:lang w:val="es-CO"/>
        </w:rPr>
        <w:footnoteReference w:id="68"/>
      </w:r>
      <w:r w:rsidRPr="008938E1">
        <w:rPr>
          <w:rFonts w:asciiTheme="majorHAnsi" w:hAnsiTheme="majorHAnsi"/>
          <w:sz w:val="20"/>
          <w:szCs w:val="20"/>
          <w:lang w:val="es-CO"/>
        </w:rPr>
        <w:t>.</w:t>
      </w:r>
      <w:r w:rsidR="003B1C45" w:rsidRPr="008938E1">
        <w:rPr>
          <w:rFonts w:asciiTheme="majorHAnsi" w:hAnsiTheme="majorHAnsi"/>
          <w:sz w:val="20"/>
          <w:szCs w:val="20"/>
          <w:lang w:val="es-CO"/>
        </w:rPr>
        <w:t xml:space="preserve">  Indicó al respecto</w:t>
      </w:r>
      <w:r w:rsidR="00930569" w:rsidRPr="008938E1">
        <w:rPr>
          <w:rFonts w:asciiTheme="majorHAnsi" w:hAnsiTheme="majorHAnsi"/>
          <w:sz w:val="20"/>
          <w:szCs w:val="20"/>
          <w:lang w:val="es-CO"/>
        </w:rPr>
        <w:t>,</w:t>
      </w:r>
      <w:r w:rsidR="003B1C45" w:rsidRPr="008938E1">
        <w:rPr>
          <w:rFonts w:asciiTheme="majorHAnsi" w:hAnsiTheme="majorHAnsi"/>
          <w:sz w:val="20"/>
          <w:szCs w:val="20"/>
          <w:lang w:val="es-CO"/>
        </w:rPr>
        <w:t xml:space="preserve"> que </w:t>
      </w:r>
      <w:r w:rsidR="00930569" w:rsidRPr="008938E1">
        <w:rPr>
          <w:rFonts w:asciiTheme="majorHAnsi" w:hAnsiTheme="majorHAnsi"/>
          <w:sz w:val="20"/>
          <w:szCs w:val="20"/>
          <w:lang w:val="es-CO"/>
        </w:rPr>
        <w:t>la libertad incondicional solamente procede “cuando se ha acreditado fehacientemente la inocencia del procesado” que en el caso existían numerosos indicios relacionados con la responsabilidad</w:t>
      </w:r>
      <w:r w:rsidR="001414E3" w:rsidRPr="008938E1">
        <w:rPr>
          <w:rFonts w:asciiTheme="majorHAnsi" w:hAnsiTheme="majorHAnsi"/>
          <w:sz w:val="20"/>
          <w:szCs w:val="20"/>
          <w:lang w:val="es-CO"/>
        </w:rPr>
        <w:t xml:space="preserve"> de “los procesados colombianos, los mismos que ni siquiera fueron enervados durante el transcurso de la instrucción hasta la cuestionada resolución que fuera emitida por el procesado”</w:t>
      </w:r>
      <w:r w:rsidR="00930569" w:rsidRPr="008938E1">
        <w:rPr>
          <w:rStyle w:val="FootnoteReference"/>
          <w:rFonts w:asciiTheme="majorHAnsi" w:hAnsiTheme="majorHAnsi"/>
          <w:sz w:val="20"/>
          <w:szCs w:val="20"/>
          <w:lang w:val="es-CO"/>
        </w:rPr>
        <w:t xml:space="preserve"> </w:t>
      </w:r>
      <w:r w:rsidR="00930569" w:rsidRPr="00A321D3">
        <w:rPr>
          <w:rStyle w:val="FootnoteReference"/>
          <w:rFonts w:asciiTheme="majorHAnsi" w:hAnsiTheme="majorHAnsi"/>
          <w:sz w:val="20"/>
          <w:szCs w:val="20"/>
          <w:lang w:val="es-CO"/>
        </w:rPr>
        <w:footnoteReference w:id="69"/>
      </w:r>
      <w:r w:rsidR="00930569" w:rsidRPr="008938E1">
        <w:rPr>
          <w:rFonts w:asciiTheme="majorHAnsi" w:hAnsiTheme="majorHAnsi"/>
          <w:sz w:val="20"/>
          <w:szCs w:val="20"/>
          <w:lang w:val="es-CO"/>
        </w:rPr>
        <w:t xml:space="preserve">. </w:t>
      </w:r>
    </w:p>
    <w:p w14:paraId="68B2BFA8" w14:textId="77777777" w:rsidR="008938E1" w:rsidRDefault="008938E1" w:rsidP="00975184">
      <w:pPr>
        <w:pStyle w:val="ListParagraph"/>
        <w:rPr>
          <w:rFonts w:asciiTheme="majorHAnsi" w:hAnsiTheme="majorHAnsi"/>
          <w:sz w:val="20"/>
          <w:szCs w:val="20"/>
          <w:lang w:val="es-CO"/>
        </w:rPr>
      </w:pPr>
    </w:p>
    <w:p w14:paraId="2C6F8F30" w14:textId="77777777" w:rsidR="008938E1" w:rsidRPr="008938E1" w:rsidRDefault="001C286E"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VE"/>
        </w:rPr>
      </w:pPr>
      <w:r w:rsidRPr="008938E1">
        <w:rPr>
          <w:rFonts w:asciiTheme="majorHAnsi" w:hAnsiTheme="majorHAnsi"/>
          <w:sz w:val="20"/>
          <w:szCs w:val="20"/>
          <w:lang w:val="es-CO"/>
        </w:rPr>
        <w:t>El 22 de agosto de 2005 en segunda instancia se confirmó la decisión de 21 de junio de ese año</w:t>
      </w:r>
      <w:r w:rsidRPr="00A321D3">
        <w:rPr>
          <w:rStyle w:val="FootnoteReference"/>
          <w:rFonts w:asciiTheme="majorHAnsi" w:hAnsiTheme="majorHAnsi"/>
          <w:sz w:val="20"/>
          <w:szCs w:val="20"/>
          <w:lang w:val="es-CO"/>
        </w:rPr>
        <w:footnoteReference w:id="70"/>
      </w:r>
      <w:r w:rsidRPr="008938E1">
        <w:rPr>
          <w:rFonts w:asciiTheme="majorHAnsi" w:hAnsiTheme="majorHAnsi"/>
          <w:sz w:val="20"/>
          <w:szCs w:val="20"/>
          <w:lang w:val="es-CO"/>
        </w:rPr>
        <w:t>. Se consideró que la decisión de concesión de libertad incondicional fue un acto netamente jurisdiccional susceptible de ser revisado por autoridad superior como efectivamente ocurrió en dicho proceso, siendo así un ejercicio regular del derecho y de la función que como juez le correspondía realizar a la presunta víctima</w:t>
      </w:r>
      <w:r w:rsidRPr="00A321D3">
        <w:rPr>
          <w:rStyle w:val="FootnoteReference"/>
          <w:rFonts w:asciiTheme="majorHAnsi" w:hAnsiTheme="majorHAnsi"/>
          <w:sz w:val="20"/>
          <w:szCs w:val="20"/>
          <w:lang w:val="es-CO"/>
        </w:rPr>
        <w:footnoteReference w:id="71"/>
      </w:r>
      <w:r w:rsidRPr="008938E1">
        <w:rPr>
          <w:rFonts w:asciiTheme="majorHAnsi" w:hAnsiTheme="majorHAnsi"/>
          <w:sz w:val="20"/>
          <w:szCs w:val="20"/>
          <w:lang w:val="es-CO"/>
        </w:rPr>
        <w:t xml:space="preserve">. </w:t>
      </w:r>
      <w:r w:rsidR="00796F65" w:rsidRPr="008938E1">
        <w:rPr>
          <w:rFonts w:asciiTheme="majorHAnsi" w:hAnsiTheme="majorHAnsi"/>
          <w:sz w:val="20"/>
          <w:szCs w:val="20"/>
          <w:lang w:val="es-CO"/>
        </w:rPr>
        <w:t xml:space="preserve"> En dicha resolución se indica, entre otras cuestiones:</w:t>
      </w:r>
    </w:p>
    <w:p w14:paraId="4ED4E147" w14:textId="77777777" w:rsidR="008938E1" w:rsidRDefault="008938E1" w:rsidP="00975184">
      <w:pPr>
        <w:pStyle w:val="ListParagraph"/>
        <w:rPr>
          <w:rFonts w:asciiTheme="majorHAnsi" w:hAnsiTheme="majorHAnsi"/>
          <w:sz w:val="20"/>
          <w:szCs w:val="20"/>
          <w:lang w:val="es-CO"/>
        </w:rPr>
      </w:pPr>
    </w:p>
    <w:p w14:paraId="57D34D83" w14:textId="54E080C9" w:rsidR="00796F65" w:rsidRPr="008938E1" w:rsidRDefault="00796F65"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s-VE"/>
        </w:rPr>
      </w:pPr>
      <w:r w:rsidRPr="008938E1">
        <w:rPr>
          <w:rFonts w:asciiTheme="majorHAnsi" w:hAnsiTheme="majorHAnsi"/>
          <w:sz w:val="20"/>
          <w:szCs w:val="20"/>
          <w:lang w:val="es-CO"/>
        </w:rPr>
        <w:t>(…)</w:t>
      </w:r>
      <w:r w:rsidR="00302B63">
        <w:rPr>
          <w:rFonts w:asciiTheme="majorHAnsi" w:hAnsiTheme="majorHAnsi"/>
          <w:sz w:val="20"/>
          <w:szCs w:val="20"/>
          <w:lang w:val="es-CO"/>
        </w:rPr>
        <w:t xml:space="preserve"> </w:t>
      </w:r>
      <w:r w:rsidRPr="008938E1">
        <w:rPr>
          <w:rFonts w:asciiTheme="majorHAnsi" w:hAnsiTheme="majorHAnsi"/>
          <w:sz w:val="20"/>
          <w:szCs w:val="20"/>
          <w:lang w:val="es-CO"/>
        </w:rPr>
        <w:t xml:space="preserve">el sujeto activo del delito de encubrimiento no puede ser un juez, por que (sic) éste administra justicia en representación del Estado, función en la que se encuentra comprendido al emitir la resolución de fecha once de julio de mil novecientos noventicinco, encontrándose dentro de sus facultades (…) que el delito de prevaricato no se comete a título de culpa, es decir </w:t>
      </w:r>
      <w:r w:rsidR="008E6171" w:rsidRPr="008938E1">
        <w:rPr>
          <w:rFonts w:asciiTheme="majorHAnsi" w:hAnsiTheme="majorHAnsi"/>
          <w:sz w:val="20"/>
          <w:szCs w:val="20"/>
          <w:lang w:val="es-CO"/>
        </w:rPr>
        <w:t>no b</w:t>
      </w:r>
      <w:r w:rsidRPr="008938E1">
        <w:rPr>
          <w:rFonts w:asciiTheme="majorHAnsi" w:hAnsiTheme="majorHAnsi"/>
          <w:sz w:val="20"/>
          <w:szCs w:val="20"/>
          <w:lang w:val="es-CO"/>
        </w:rPr>
        <w:t>asta el descuido ni la negligencia para imputarse ese ilícito, pues el tipo penal exige como condición sine qua non, el dolo; máxime si tenemos en cuenta que en el accionar de dicho Magistrado no se acreditó que éste haya actuado con dolo (…)</w:t>
      </w:r>
      <w:r w:rsidRPr="00A321D3">
        <w:rPr>
          <w:rStyle w:val="FootnoteReference"/>
          <w:rFonts w:asciiTheme="majorHAnsi" w:hAnsiTheme="majorHAnsi"/>
          <w:sz w:val="20"/>
          <w:szCs w:val="20"/>
          <w:lang w:val="es-CO"/>
        </w:rPr>
        <w:footnoteReference w:id="72"/>
      </w:r>
      <w:r w:rsidRPr="008938E1">
        <w:rPr>
          <w:rFonts w:asciiTheme="majorHAnsi" w:hAnsiTheme="majorHAnsi"/>
          <w:sz w:val="20"/>
          <w:szCs w:val="20"/>
          <w:lang w:val="es-CO"/>
        </w:rPr>
        <w:t>.</w:t>
      </w:r>
    </w:p>
    <w:p w14:paraId="605189EE" w14:textId="77777777" w:rsidR="008938E1" w:rsidRDefault="008938E1"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33256C84" w14:textId="6A2C3164" w:rsidR="001D40A4" w:rsidRPr="00A321D3" w:rsidRDefault="00113783"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321D3">
        <w:rPr>
          <w:rFonts w:asciiTheme="majorHAnsi" w:hAnsiTheme="majorHAnsi"/>
          <w:sz w:val="20"/>
          <w:szCs w:val="20"/>
          <w:lang w:val="es-CO"/>
        </w:rPr>
        <w:t>El 25 de agosto de 2005 l</w:t>
      </w:r>
      <w:r w:rsidR="001C286E" w:rsidRPr="00A321D3">
        <w:rPr>
          <w:rFonts w:asciiTheme="majorHAnsi" w:hAnsiTheme="majorHAnsi"/>
          <w:sz w:val="20"/>
          <w:szCs w:val="20"/>
          <w:lang w:val="es-CO"/>
        </w:rPr>
        <w:t>a Procuraduría Anticorrupción Descentralizada del Distrito Judicial de Huánuco-Pasco interpuso recurso de nulidad contra la referida decisión, el cual fue declarado improcedente</w:t>
      </w:r>
      <w:r w:rsidR="001C286E" w:rsidRPr="00A321D3">
        <w:rPr>
          <w:rStyle w:val="FootnoteReference"/>
          <w:rFonts w:asciiTheme="majorHAnsi" w:hAnsiTheme="majorHAnsi"/>
          <w:sz w:val="20"/>
          <w:szCs w:val="20"/>
          <w:lang w:val="es-CO"/>
        </w:rPr>
        <w:footnoteReference w:id="73"/>
      </w:r>
      <w:r w:rsidR="001C286E" w:rsidRPr="00A321D3">
        <w:rPr>
          <w:rFonts w:asciiTheme="majorHAnsi" w:hAnsiTheme="majorHAnsi"/>
          <w:sz w:val="20"/>
          <w:szCs w:val="20"/>
          <w:lang w:val="es-CO"/>
        </w:rPr>
        <w:t xml:space="preserve">. </w:t>
      </w:r>
    </w:p>
    <w:p w14:paraId="2BF25BF2" w14:textId="77777777" w:rsidR="00A321D3" w:rsidRDefault="00A321D3" w:rsidP="00975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Theme="majorHAnsi" w:hAnsiTheme="majorHAnsi"/>
          <w:b/>
          <w:sz w:val="20"/>
          <w:szCs w:val="20"/>
          <w:lang w:val="es-CL"/>
        </w:rPr>
      </w:pPr>
    </w:p>
    <w:p w14:paraId="3FA6A66B" w14:textId="50362318" w:rsidR="007B197F" w:rsidRPr="00F97A94" w:rsidRDefault="007B197F" w:rsidP="00975184">
      <w:pPr>
        <w:pStyle w:val="Heading2"/>
        <w:numPr>
          <w:ilvl w:val="0"/>
          <w:numId w:val="61"/>
        </w:numPr>
        <w:tabs>
          <w:tab w:val="left" w:pos="1530"/>
        </w:tabs>
        <w:ind w:left="1440" w:hanging="720"/>
        <w:rPr>
          <w:lang w:val="es-CL"/>
        </w:rPr>
      </w:pPr>
      <w:bookmarkStart w:id="32" w:name="_Toc514247645"/>
      <w:r w:rsidRPr="00F97A94">
        <w:rPr>
          <w:rFonts w:cs="Arial"/>
          <w:bCs/>
          <w:iCs/>
          <w:lang w:val="es-VE"/>
        </w:rPr>
        <w:t>Recurso</w:t>
      </w:r>
      <w:r w:rsidRPr="00F97A94">
        <w:rPr>
          <w:lang w:val="es-CL"/>
        </w:rPr>
        <w:t xml:space="preserve"> de nulidad ante el CNM</w:t>
      </w:r>
      <w:bookmarkEnd w:id="32"/>
    </w:p>
    <w:p w14:paraId="774B2EE9" w14:textId="77777777" w:rsidR="007B197F" w:rsidRDefault="007B197F" w:rsidP="00975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Theme="majorHAnsi" w:hAnsiTheme="majorHAnsi"/>
          <w:b/>
          <w:sz w:val="20"/>
          <w:szCs w:val="20"/>
          <w:lang w:val="es-CL"/>
        </w:rPr>
      </w:pPr>
    </w:p>
    <w:p w14:paraId="589AFAAF" w14:textId="77777777" w:rsidR="007B197F" w:rsidRDefault="007B197F"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321D3">
        <w:rPr>
          <w:rFonts w:asciiTheme="majorHAnsi" w:hAnsiTheme="majorHAnsi"/>
          <w:sz w:val="20"/>
          <w:szCs w:val="20"/>
          <w:lang w:val="es-CO"/>
        </w:rPr>
        <w:t>El 17 de noviembre de 2005 la presunta víctima presentó recurso de nulidad en contra de la resolución de 14 de agosto de 1996 del CNM y solicitó su reincorporación al cargo de juez</w:t>
      </w:r>
      <w:r w:rsidRPr="00A321D3">
        <w:rPr>
          <w:rStyle w:val="FootnoteReference"/>
          <w:rFonts w:asciiTheme="majorHAnsi" w:hAnsiTheme="majorHAnsi"/>
          <w:sz w:val="20"/>
          <w:szCs w:val="20"/>
          <w:lang w:val="es-CO"/>
        </w:rPr>
        <w:footnoteReference w:id="74"/>
      </w:r>
      <w:r w:rsidRPr="00A321D3">
        <w:rPr>
          <w:rFonts w:asciiTheme="majorHAnsi" w:hAnsiTheme="majorHAnsi"/>
          <w:sz w:val="20"/>
          <w:szCs w:val="20"/>
          <w:lang w:val="es-CO"/>
        </w:rPr>
        <w:t>. Argumentó que se había proferido sentencia absolutoria en el proceso penal llevado en su contra por los delitos de encubrimiento personal y prevaricato, lo cual debía analizarse para declarar la nulidad de la resolución administrativa que no puede en cualquier caso contrariar una decisión jurisdiccional</w:t>
      </w:r>
      <w:r w:rsidRPr="00A321D3">
        <w:rPr>
          <w:rStyle w:val="FootnoteReference"/>
          <w:rFonts w:asciiTheme="majorHAnsi" w:hAnsiTheme="majorHAnsi"/>
          <w:sz w:val="20"/>
          <w:szCs w:val="20"/>
          <w:lang w:val="es-CO"/>
        </w:rPr>
        <w:footnoteReference w:id="75"/>
      </w:r>
      <w:r w:rsidRPr="00A321D3">
        <w:rPr>
          <w:rFonts w:asciiTheme="majorHAnsi" w:hAnsiTheme="majorHAnsi"/>
          <w:sz w:val="20"/>
          <w:szCs w:val="20"/>
          <w:lang w:val="es-CO"/>
        </w:rPr>
        <w:t>. Asimismo, alegó que al estar vigentes de manera simultánea la Ley 26933 y el artículo 210 de la Ley Orgánica del Poder Judicial, se debió respetar el principio de aplicar lo más favorable al trabajador</w:t>
      </w:r>
      <w:r w:rsidRPr="00A321D3">
        <w:rPr>
          <w:rStyle w:val="FootnoteReference"/>
          <w:rFonts w:asciiTheme="majorHAnsi" w:hAnsiTheme="majorHAnsi"/>
          <w:sz w:val="20"/>
          <w:szCs w:val="20"/>
          <w:lang w:val="es-CO"/>
        </w:rPr>
        <w:footnoteReference w:id="76"/>
      </w:r>
      <w:r w:rsidRPr="00A321D3">
        <w:rPr>
          <w:rFonts w:asciiTheme="majorHAnsi" w:hAnsiTheme="majorHAnsi"/>
          <w:sz w:val="20"/>
          <w:szCs w:val="20"/>
          <w:lang w:val="es-CO"/>
        </w:rPr>
        <w:t>.</w:t>
      </w:r>
    </w:p>
    <w:p w14:paraId="4C8FEDF4" w14:textId="77777777" w:rsidR="007B197F" w:rsidRDefault="007B197F"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5394A568" w14:textId="77777777" w:rsidR="001050CB" w:rsidRPr="00A321D3" w:rsidRDefault="001050CB"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48A89670" w14:textId="77777777" w:rsidR="007B197F" w:rsidRDefault="007B197F"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321D3">
        <w:rPr>
          <w:rFonts w:asciiTheme="majorHAnsi" w:hAnsiTheme="majorHAnsi"/>
          <w:sz w:val="20"/>
          <w:szCs w:val="20"/>
          <w:lang w:val="es-CO"/>
        </w:rPr>
        <w:t>El 30 de diciembre de 2005 el CNM profirió la Resolución No. 1198-2005-CNM en la que declaró improcedente la nulidad deducida por la presunta víctima y declaró inadmisible su pedido de reincorporación al cargo</w:t>
      </w:r>
      <w:r w:rsidRPr="00A321D3">
        <w:rPr>
          <w:rStyle w:val="FootnoteReference"/>
          <w:rFonts w:asciiTheme="majorHAnsi" w:hAnsiTheme="majorHAnsi"/>
          <w:sz w:val="20"/>
          <w:szCs w:val="20"/>
          <w:lang w:val="es-CO"/>
        </w:rPr>
        <w:footnoteReference w:id="77"/>
      </w:r>
      <w:r w:rsidRPr="00A321D3">
        <w:rPr>
          <w:rFonts w:asciiTheme="majorHAnsi" w:hAnsiTheme="majorHAnsi"/>
          <w:sz w:val="20"/>
          <w:szCs w:val="20"/>
          <w:lang w:val="es-CO"/>
        </w:rPr>
        <w:t>. Indicó que la presunta víctima no interpuso recurso de reconsideración en contra de la resolución impugnada por lo que adquirió valor de cosa juzgada y que no pueden confundirse la responsabilidad penal y la disciplinaria</w:t>
      </w:r>
      <w:r w:rsidRPr="00A321D3">
        <w:rPr>
          <w:rStyle w:val="FootnoteReference"/>
          <w:rFonts w:asciiTheme="majorHAnsi" w:hAnsiTheme="majorHAnsi"/>
          <w:sz w:val="20"/>
          <w:szCs w:val="20"/>
          <w:lang w:val="es-CO"/>
        </w:rPr>
        <w:footnoteReference w:id="78"/>
      </w:r>
      <w:r>
        <w:rPr>
          <w:rFonts w:asciiTheme="majorHAnsi" w:hAnsiTheme="majorHAnsi"/>
          <w:sz w:val="20"/>
          <w:szCs w:val="20"/>
          <w:lang w:val="es-CO"/>
        </w:rPr>
        <w:t>.</w:t>
      </w:r>
    </w:p>
    <w:p w14:paraId="06A016A4" w14:textId="77777777" w:rsidR="007B197F" w:rsidRDefault="007B197F" w:rsidP="00975184">
      <w:pPr>
        <w:pStyle w:val="ListParagraph"/>
        <w:rPr>
          <w:rFonts w:asciiTheme="majorHAnsi" w:hAnsiTheme="majorHAnsi"/>
          <w:sz w:val="20"/>
          <w:szCs w:val="20"/>
          <w:lang w:val="es-CO"/>
        </w:rPr>
      </w:pPr>
    </w:p>
    <w:p w14:paraId="46913DC9" w14:textId="77777777" w:rsidR="007B197F" w:rsidRDefault="007B197F"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65F4D">
        <w:rPr>
          <w:rFonts w:asciiTheme="majorHAnsi" w:hAnsiTheme="majorHAnsi"/>
          <w:sz w:val="20"/>
          <w:szCs w:val="20"/>
          <w:lang w:val="es-CO"/>
        </w:rPr>
        <w:t xml:space="preserve"> Finalmente argumentó que el artículo 154 de la Constitución Política del Perú consagra las funciones del CNM, dentro de las cuales no se encuentra la de reincorporar en el ejercicio del cargo a los jueces destituidos</w:t>
      </w:r>
      <w:r w:rsidRPr="00A321D3">
        <w:rPr>
          <w:rStyle w:val="FootnoteReference"/>
          <w:rFonts w:asciiTheme="majorHAnsi" w:hAnsiTheme="majorHAnsi"/>
          <w:sz w:val="20"/>
          <w:szCs w:val="20"/>
          <w:lang w:val="es-CO"/>
        </w:rPr>
        <w:footnoteReference w:id="79"/>
      </w:r>
      <w:r w:rsidRPr="00A65F4D">
        <w:rPr>
          <w:rFonts w:asciiTheme="majorHAnsi" w:hAnsiTheme="majorHAnsi"/>
          <w:sz w:val="20"/>
          <w:szCs w:val="20"/>
          <w:lang w:val="es-CO"/>
        </w:rPr>
        <w:t>.</w:t>
      </w:r>
      <w:r>
        <w:rPr>
          <w:rFonts w:asciiTheme="majorHAnsi" w:hAnsiTheme="majorHAnsi"/>
          <w:sz w:val="20"/>
          <w:szCs w:val="20"/>
          <w:lang w:val="es-CO"/>
        </w:rPr>
        <w:t xml:space="preserve"> En palabras del Consejo:</w:t>
      </w:r>
    </w:p>
    <w:p w14:paraId="4CFC284D" w14:textId="77777777" w:rsidR="007B197F" w:rsidRDefault="007B197F" w:rsidP="00975184">
      <w:pPr>
        <w:pStyle w:val="ListParagraph"/>
        <w:rPr>
          <w:rFonts w:asciiTheme="majorHAnsi" w:hAnsiTheme="majorHAnsi"/>
          <w:sz w:val="20"/>
          <w:szCs w:val="20"/>
          <w:lang w:val="es-CO"/>
        </w:rPr>
      </w:pPr>
    </w:p>
    <w:p w14:paraId="00A2FB7A" w14:textId="77777777" w:rsidR="007B197F" w:rsidRPr="00A65F4D" w:rsidRDefault="007B197F"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firstLine="0"/>
        <w:jc w:val="both"/>
        <w:rPr>
          <w:rFonts w:asciiTheme="majorHAnsi" w:hAnsiTheme="majorHAnsi"/>
          <w:sz w:val="20"/>
          <w:szCs w:val="20"/>
          <w:lang w:val="es-CO"/>
        </w:rPr>
      </w:pPr>
      <w:r w:rsidRPr="00A65F4D">
        <w:rPr>
          <w:rFonts w:asciiTheme="majorHAnsi" w:hAnsiTheme="majorHAnsi"/>
          <w:sz w:val="20"/>
          <w:szCs w:val="20"/>
          <w:lang w:val="es-CO"/>
        </w:rPr>
        <w:t>El doctor Cordero Bernal confunde en su escrito la responsabilidad penal con la responsabilidad administrativa; en efecto, si bien en el proceso penal seguido en su contra fue absuelto, en el proceso disciplinario se le destituyó al haberse probado las imputaciones en su contra; en consecuencia, el hecho de que se le haya liberado de responsabilidad penal no significa que se le deba liberar de responsabilidad administrativa</w:t>
      </w:r>
      <w:r w:rsidRPr="00A321D3">
        <w:rPr>
          <w:rStyle w:val="FootnoteReference"/>
          <w:rFonts w:asciiTheme="majorHAnsi" w:hAnsiTheme="majorHAnsi"/>
          <w:sz w:val="20"/>
          <w:szCs w:val="20"/>
          <w:lang w:val="es-CO"/>
        </w:rPr>
        <w:footnoteReference w:id="80"/>
      </w:r>
      <w:r w:rsidRPr="00A65F4D">
        <w:rPr>
          <w:rFonts w:asciiTheme="majorHAnsi" w:hAnsiTheme="majorHAnsi"/>
          <w:sz w:val="20"/>
          <w:szCs w:val="20"/>
          <w:lang w:val="es-CO"/>
        </w:rPr>
        <w:t xml:space="preserve">. </w:t>
      </w:r>
    </w:p>
    <w:p w14:paraId="07962136" w14:textId="77777777" w:rsidR="007B197F" w:rsidRDefault="007B197F" w:rsidP="00975184">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Theme="majorHAnsi" w:hAnsiTheme="majorHAnsi"/>
          <w:sz w:val="20"/>
          <w:szCs w:val="20"/>
          <w:lang w:val="es-CO"/>
        </w:rPr>
      </w:pPr>
    </w:p>
    <w:p w14:paraId="2584B657" w14:textId="77777777" w:rsidR="007B197F" w:rsidRDefault="007B197F"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65F4D">
        <w:rPr>
          <w:rFonts w:asciiTheme="majorHAnsi" w:hAnsiTheme="majorHAnsi"/>
          <w:sz w:val="20"/>
          <w:szCs w:val="20"/>
          <w:lang w:val="es-CO"/>
        </w:rPr>
        <w:t>El 25 de enero de 2006 la presunta víctima interpuso recurso de apelación en contra de la resolución No. 1198-2005-CNM del CNM, ratificando los argumentos ya esgrimidos en su escrito de 17 de noviembre de 2005</w:t>
      </w:r>
      <w:r w:rsidRPr="00A321D3">
        <w:rPr>
          <w:rStyle w:val="FootnoteReference"/>
          <w:rFonts w:asciiTheme="majorHAnsi" w:hAnsiTheme="majorHAnsi"/>
          <w:sz w:val="20"/>
          <w:szCs w:val="20"/>
          <w:lang w:val="es-CO"/>
        </w:rPr>
        <w:footnoteReference w:id="81"/>
      </w:r>
      <w:r w:rsidRPr="00A65F4D">
        <w:rPr>
          <w:rFonts w:asciiTheme="majorHAnsi" w:hAnsiTheme="majorHAnsi"/>
          <w:sz w:val="20"/>
          <w:szCs w:val="20"/>
          <w:lang w:val="es-CO"/>
        </w:rPr>
        <w:t>. Agregó que no interpuso el recurso de reconsideración en su momento, debido a que se vio sometido al proceso penal “de manera injusta e ilegal”</w:t>
      </w:r>
      <w:r w:rsidRPr="00A321D3">
        <w:rPr>
          <w:rStyle w:val="FootnoteReference"/>
          <w:rFonts w:asciiTheme="majorHAnsi" w:hAnsiTheme="majorHAnsi"/>
          <w:sz w:val="20"/>
          <w:szCs w:val="20"/>
          <w:lang w:val="es-CO"/>
        </w:rPr>
        <w:footnoteReference w:id="82"/>
      </w:r>
      <w:r w:rsidRPr="00A65F4D">
        <w:rPr>
          <w:rFonts w:asciiTheme="majorHAnsi" w:hAnsiTheme="majorHAnsi"/>
          <w:sz w:val="20"/>
          <w:szCs w:val="20"/>
          <w:lang w:val="es-CO"/>
        </w:rPr>
        <w:t>. Señaló que dicho recurso fue interpuesto para ser resuelto por el mismo CNM, al no existir superior jerárquico que realizara la revisión</w:t>
      </w:r>
      <w:r w:rsidRPr="00A321D3">
        <w:rPr>
          <w:rStyle w:val="FootnoteReference"/>
          <w:rFonts w:asciiTheme="majorHAnsi" w:hAnsiTheme="majorHAnsi"/>
          <w:sz w:val="20"/>
          <w:szCs w:val="20"/>
          <w:lang w:val="es-CO"/>
        </w:rPr>
        <w:footnoteReference w:id="83"/>
      </w:r>
      <w:r w:rsidRPr="00A65F4D">
        <w:rPr>
          <w:rFonts w:asciiTheme="majorHAnsi" w:hAnsiTheme="majorHAnsi"/>
          <w:sz w:val="20"/>
          <w:szCs w:val="20"/>
          <w:lang w:val="es-CO"/>
        </w:rPr>
        <w:t>.</w:t>
      </w:r>
    </w:p>
    <w:p w14:paraId="6F53DC8A" w14:textId="77777777" w:rsidR="007B197F" w:rsidRDefault="007B197F" w:rsidP="00975184">
      <w:pPr>
        <w:pStyle w:val="ListParagraph"/>
        <w:rPr>
          <w:rFonts w:asciiTheme="majorHAnsi" w:hAnsiTheme="majorHAnsi"/>
          <w:sz w:val="20"/>
          <w:szCs w:val="20"/>
          <w:lang w:val="es-CO"/>
        </w:rPr>
      </w:pPr>
    </w:p>
    <w:p w14:paraId="7F4093C6" w14:textId="77777777" w:rsidR="007B197F" w:rsidRPr="00A65F4D" w:rsidRDefault="007B197F" w:rsidP="00975184">
      <w:pPr>
        <w:pStyle w:val="BodyTextIndent"/>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ind w:left="0" w:firstLine="720"/>
        <w:jc w:val="both"/>
        <w:rPr>
          <w:rFonts w:asciiTheme="majorHAnsi" w:hAnsiTheme="majorHAnsi"/>
          <w:sz w:val="20"/>
          <w:szCs w:val="20"/>
          <w:lang w:val="es-CO"/>
        </w:rPr>
      </w:pPr>
      <w:r w:rsidRPr="00A65F4D">
        <w:rPr>
          <w:rFonts w:asciiTheme="majorHAnsi" w:hAnsiTheme="majorHAnsi"/>
          <w:sz w:val="20"/>
          <w:szCs w:val="20"/>
          <w:lang w:val="es-CO"/>
        </w:rPr>
        <w:t>El 20 de febrero de 2006 mediante resolución No. 078-2006-CNM, el CNM declaró inadmisible por extemporáneo el recurso de apelación, entendido como de reconsideración</w:t>
      </w:r>
      <w:r w:rsidRPr="00A321D3">
        <w:rPr>
          <w:rStyle w:val="FootnoteReference"/>
          <w:rFonts w:asciiTheme="majorHAnsi" w:hAnsiTheme="majorHAnsi"/>
          <w:sz w:val="20"/>
          <w:szCs w:val="20"/>
          <w:lang w:val="es-CO"/>
        </w:rPr>
        <w:footnoteReference w:id="84"/>
      </w:r>
      <w:r w:rsidRPr="00A65F4D">
        <w:rPr>
          <w:rFonts w:asciiTheme="majorHAnsi" w:hAnsiTheme="majorHAnsi"/>
          <w:sz w:val="20"/>
          <w:szCs w:val="20"/>
          <w:lang w:val="es-CO"/>
        </w:rPr>
        <w:t>. Señaló que el recurso interpuesto por la presunta víctima tenía la naturaleza de un recurso de reconsideración por tratarse el CNM de un órgano de única instancia y que en ese sentido no había sido interpuesto en el término correspondiente de diez días desde la notificación</w:t>
      </w:r>
      <w:r w:rsidRPr="00A321D3">
        <w:rPr>
          <w:rStyle w:val="FootnoteReference"/>
          <w:rFonts w:asciiTheme="majorHAnsi" w:hAnsiTheme="majorHAnsi"/>
          <w:sz w:val="20"/>
          <w:szCs w:val="20"/>
          <w:lang w:val="es-CO"/>
        </w:rPr>
        <w:footnoteReference w:id="85"/>
      </w:r>
      <w:r w:rsidRPr="00A65F4D">
        <w:rPr>
          <w:rFonts w:asciiTheme="majorHAnsi" w:hAnsiTheme="majorHAnsi"/>
          <w:sz w:val="20"/>
          <w:szCs w:val="20"/>
          <w:lang w:val="es-CO"/>
        </w:rPr>
        <w:t xml:space="preserve">. </w:t>
      </w:r>
    </w:p>
    <w:p w14:paraId="7F96D5F4" w14:textId="77777777" w:rsidR="007B197F" w:rsidRPr="00A321D3" w:rsidRDefault="007B197F" w:rsidP="00975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720"/>
          <w:tab w:val="left" w:pos="1440"/>
          <w:tab w:val="num" w:pos="2040"/>
        </w:tabs>
        <w:jc w:val="both"/>
        <w:rPr>
          <w:rFonts w:asciiTheme="majorHAnsi" w:hAnsiTheme="majorHAnsi"/>
          <w:b/>
          <w:sz w:val="20"/>
          <w:szCs w:val="20"/>
          <w:lang w:val="es-CL"/>
        </w:rPr>
      </w:pPr>
    </w:p>
    <w:p w14:paraId="0BBE1168" w14:textId="77777777" w:rsidR="00A321D3" w:rsidRPr="00A321D3" w:rsidRDefault="00A321D3" w:rsidP="00975184">
      <w:pPr>
        <w:pStyle w:val="Heading1"/>
        <w:numPr>
          <w:ilvl w:val="0"/>
          <w:numId w:val="55"/>
        </w:numPr>
        <w:ind w:hanging="810"/>
      </w:pPr>
      <w:bookmarkStart w:id="33" w:name="_Toc475546054"/>
      <w:bookmarkStart w:id="34" w:name="_Toc487469469"/>
      <w:bookmarkStart w:id="35" w:name="_Toc514247646"/>
      <w:r w:rsidRPr="00A321D3">
        <w:t>ANÁLISIS DE DERECHO</w:t>
      </w:r>
      <w:bookmarkEnd w:id="33"/>
      <w:bookmarkEnd w:id="34"/>
      <w:bookmarkEnd w:id="35"/>
      <w:r w:rsidRPr="00A321D3">
        <w:t xml:space="preserve"> </w:t>
      </w:r>
    </w:p>
    <w:p w14:paraId="15AE88FE" w14:textId="77777777" w:rsidR="00A321D3" w:rsidRPr="00A321D3" w:rsidRDefault="00A321D3" w:rsidP="00975184">
      <w:pPr>
        <w:rPr>
          <w:rFonts w:asciiTheme="majorHAnsi" w:hAnsiTheme="majorHAnsi"/>
          <w:sz w:val="20"/>
          <w:szCs w:val="20"/>
        </w:rPr>
      </w:pPr>
    </w:p>
    <w:p w14:paraId="62C5B2B3" w14:textId="27903F78" w:rsidR="005078D2" w:rsidRDefault="00A321D3" w:rsidP="003106BE">
      <w:pPr>
        <w:pStyle w:val="Heading1"/>
        <w:numPr>
          <w:ilvl w:val="0"/>
          <w:numId w:val="63"/>
        </w:numPr>
        <w:ind w:left="1440" w:hanging="810"/>
        <w:jc w:val="both"/>
        <w:rPr>
          <w:lang w:val="es-CO"/>
        </w:rPr>
      </w:pPr>
      <w:bookmarkStart w:id="36" w:name="_Toc514247647"/>
      <w:r w:rsidRPr="00A321D3">
        <w:rPr>
          <w:lang w:val="es-CO"/>
        </w:rPr>
        <w:t>Derecho a las garantías judiciales, principio de legalidad y protección judicial</w:t>
      </w:r>
      <w:bookmarkStart w:id="37" w:name="_Toc505936567"/>
      <w:bookmarkEnd w:id="36"/>
    </w:p>
    <w:p w14:paraId="63DF9C2F" w14:textId="77777777" w:rsidR="003106BE" w:rsidRPr="003106BE" w:rsidRDefault="003106BE" w:rsidP="003106BE">
      <w:pPr>
        <w:rPr>
          <w:lang w:val="es-CO"/>
        </w:rPr>
      </w:pPr>
    </w:p>
    <w:p w14:paraId="5F1F895C" w14:textId="77777777" w:rsidR="00A321D3" w:rsidRPr="00A321D3" w:rsidRDefault="00A321D3" w:rsidP="00975184">
      <w:pPr>
        <w:pStyle w:val="Heading3"/>
        <w:keepLines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810"/>
        <w:rPr>
          <w:i/>
          <w:color w:val="auto"/>
          <w:sz w:val="20"/>
          <w:szCs w:val="20"/>
          <w:lang w:val="es-ES"/>
        </w:rPr>
      </w:pPr>
      <w:bookmarkStart w:id="38" w:name="_Toc514247648"/>
      <w:r w:rsidRPr="00A321D3">
        <w:rPr>
          <w:color w:val="auto"/>
          <w:sz w:val="20"/>
          <w:szCs w:val="20"/>
          <w:lang w:val="es-ES"/>
        </w:rPr>
        <w:t>Consideraciones generales sobre las garantías aplicables</w:t>
      </w:r>
      <w:bookmarkEnd w:id="37"/>
      <w:bookmarkEnd w:id="38"/>
      <w:r w:rsidRPr="00A321D3">
        <w:rPr>
          <w:color w:val="auto"/>
          <w:sz w:val="20"/>
          <w:szCs w:val="20"/>
          <w:lang w:val="es-ES"/>
        </w:rPr>
        <w:t xml:space="preserve"> </w:t>
      </w:r>
    </w:p>
    <w:p w14:paraId="57E56D94" w14:textId="77777777" w:rsidR="00A321D3" w:rsidRPr="00A321D3" w:rsidRDefault="00A321D3" w:rsidP="00975184">
      <w:pPr>
        <w:tabs>
          <w:tab w:val="left" w:pos="720"/>
          <w:tab w:val="left" w:pos="1440"/>
        </w:tabs>
        <w:jc w:val="both"/>
        <w:rPr>
          <w:rFonts w:asciiTheme="majorHAnsi" w:hAnsiTheme="majorHAnsi"/>
          <w:sz w:val="20"/>
          <w:szCs w:val="20"/>
          <w:lang w:val="es-ES" w:eastAsia="es-ES"/>
        </w:rPr>
      </w:pPr>
    </w:p>
    <w:p w14:paraId="4F864C41" w14:textId="77777777" w:rsidR="00E835D2" w:rsidRDefault="00A321D3" w:rsidP="0097518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A321D3">
        <w:rPr>
          <w:rFonts w:asciiTheme="majorHAnsi" w:hAnsiTheme="majorHAnsi"/>
          <w:sz w:val="20"/>
          <w:szCs w:val="20"/>
          <w:lang w:val="es-VE"/>
        </w:rPr>
        <w:t>La Comisión recuerda que ambos órganos del sistema interamericano han indicado que las garantías establecidas en el artículo 8 de la Convención Americana,  no se limitan a procesos penales, sino que aplican a procesos de otra naturaleza</w:t>
      </w:r>
      <w:r w:rsidRPr="00A321D3">
        <w:rPr>
          <w:rFonts w:asciiTheme="majorHAnsi" w:hAnsiTheme="majorHAnsi"/>
          <w:sz w:val="20"/>
          <w:szCs w:val="20"/>
          <w:vertAlign w:val="superscript"/>
          <w:lang w:val="es-VE"/>
        </w:rPr>
        <w:footnoteReference w:id="86"/>
      </w:r>
      <w:r w:rsidRPr="00A321D3">
        <w:rPr>
          <w:rFonts w:asciiTheme="majorHAnsi" w:hAnsiTheme="majorHAnsi"/>
          <w:sz w:val="20"/>
          <w:szCs w:val="20"/>
          <w:lang w:val="es-VE"/>
        </w:rPr>
        <w:t>. Específicamente, cuando se trata de procesos sancionatorios, ambos órganos del sistema han indicado que aplican, análogamente, las garantías de los procesos penales, pues se trata del ejercicio del poder punitivo el Estado</w:t>
      </w:r>
      <w:r w:rsidRPr="00A321D3">
        <w:rPr>
          <w:rFonts w:asciiTheme="majorHAnsi" w:hAnsiTheme="majorHAnsi"/>
          <w:sz w:val="20"/>
          <w:szCs w:val="20"/>
          <w:vertAlign w:val="superscript"/>
          <w:lang w:val="es-VE"/>
        </w:rPr>
        <w:footnoteReference w:id="87"/>
      </w:r>
      <w:r w:rsidRPr="00A321D3">
        <w:rPr>
          <w:rFonts w:asciiTheme="majorHAnsi" w:hAnsiTheme="majorHAnsi"/>
          <w:sz w:val="20"/>
          <w:szCs w:val="20"/>
          <w:lang w:val="es-VE"/>
        </w:rPr>
        <w:t xml:space="preserve">. Tomando en cuenta que en el presente caso se impuso la sanción de destitución contra la presunta víctima como Juez Provisional del Cuarto Juzgado Penal de la Provincia de Huánuco, resultan aplicables las garantías del debido proceso y el principio de legalidad, conforme a los artículos 8.2 y 9 de la Convención Americana. </w:t>
      </w:r>
    </w:p>
    <w:p w14:paraId="17F4532F" w14:textId="77777777" w:rsidR="00E835D2" w:rsidRDefault="00E835D2" w:rsidP="0097518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VE"/>
        </w:rPr>
      </w:pPr>
    </w:p>
    <w:p w14:paraId="3F69BB3D" w14:textId="6E2837DF" w:rsidR="00E835D2" w:rsidRPr="006F6BCC" w:rsidRDefault="00A321D3" w:rsidP="0097518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C364C3">
        <w:rPr>
          <w:rFonts w:asciiTheme="majorHAnsi" w:hAnsiTheme="majorHAnsi"/>
          <w:sz w:val="20"/>
          <w:szCs w:val="20"/>
          <w:lang w:val="es-ES" w:eastAsia="es-ES"/>
        </w:rPr>
        <w:t xml:space="preserve">Por otra parte, la CIDH destaca que los procesos disciplinarios en contra de operadores de justicia deben ejercerse de manera compatible con el principio de independencia judicial. </w:t>
      </w:r>
      <w:r w:rsidR="00E835D2" w:rsidRPr="00C364C3">
        <w:rPr>
          <w:rFonts w:ascii="Cambria" w:hAnsi="Cambria"/>
          <w:sz w:val="20"/>
          <w:szCs w:val="20"/>
          <w:lang w:val="es-CO"/>
        </w:rPr>
        <w:t>El principio de independencia judicial es un requisito inherente a un sistema democrático y un prerrequisito fundamental para la protección de los derechos humanos</w:t>
      </w:r>
      <w:r w:rsidR="00E835D2" w:rsidRPr="00C364C3">
        <w:rPr>
          <w:rStyle w:val="FootnoteReference"/>
          <w:rFonts w:ascii="Cambria" w:hAnsi="Cambria"/>
          <w:sz w:val="20"/>
          <w:szCs w:val="20"/>
          <w:lang w:val="es-CO"/>
        </w:rPr>
        <w:footnoteReference w:id="88"/>
      </w:r>
      <w:r w:rsidR="00E835D2" w:rsidRPr="00C364C3">
        <w:rPr>
          <w:rFonts w:ascii="Cambria" w:hAnsi="Cambria"/>
          <w:sz w:val="20"/>
          <w:szCs w:val="20"/>
          <w:lang w:val="es-CO"/>
        </w:rPr>
        <w:t>. Se encuentra consagrado como una de las garantías del debido proceso protegida por el artículo 8.1 de la Convención Americana y, además, de dicho principio se desprenden a su vez garantías “reforzadas”</w:t>
      </w:r>
      <w:r w:rsidR="00E835D2" w:rsidRPr="00C364C3">
        <w:rPr>
          <w:rStyle w:val="FootnoteReference"/>
          <w:rFonts w:ascii="Cambria" w:hAnsi="Cambria"/>
          <w:sz w:val="20"/>
          <w:szCs w:val="20"/>
          <w:lang w:val="es-CO"/>
        </w:rPr>
        <w:footnoteReference w:id="89"/>
      </w:r>
      <w:r w:rsidR="00E835D2" w:rsidRPr="00C364C3">
        <w:rPr>
          <w:rFonts w:ascii="Cambria" w:hAnsi="Cambria"/>
          <w:sz w:val="20"/>
          <w:szCs w:val="20"/>
          <w:lang w:val="es-CO"/>
        </w:rPr>
        <w:t xml:space="preserve"> que los Estados deben brindar a los jueces y juezas a fin de asegurar su independencia</w:t>
      </w:r>
      <w:r w:rsidR="00E835D2" w:rsidRPr="00C364C3">
        <w:rPr>
          <w:rStyle w:val="FootnoteReference"/>
          <w:rFonts w:ascii="Cambria" w:hAnsi="Cambria"/>
          <w:sz w:val="20"/>
          <w:szCs w:val="20"/>
          <w:lang w:val="es-CO"/>
        </w:rPr>
        <w:footnoteReference w:id="90"/>
      </w:r>
      <w:r w:rsidR="00E835D2" w:rsidRPr="00C364C3">
        <w:rPr>
          <w:rFonts w:ascii="Cambria" w:hAnsi="Cambria"/>
          <w:sz w:val="20"/>
          <w:szCs w:val="20"/>
          <w:lang w:val="es-CO"/>
        </w:rPr>
        <w:t>. Los órganos del sistema interamericano han interpretado el principio de independencia judicial en el sentido de incorporar las siguientes garantías: adecuado proceso de nombramiento, inamovilidad en el cargo y garantía contra presiones externas</w:t>
      </w:r>
      <w:r w:rsidR="00E835D2" w:rsidRPr="00C364C3">
        <w:rPr>
          <w:rStyle w:val="FootnoteReference"/>
          <w:rFonts w:ascii="Cambria" w:hAnsi="Cambria"/>
          <w:sz w:val="20"/>
          <w:szCs w:val="20"/>
          <w:lang w:val="es-CO"/>
        </w:rPr>
        <w:footnoteReference w:id="91"/>
      </w:r>
      <w:r w:rsidR="00E835D2" w:rsidRPr="00C364C3">
        <w:rPr>
          <w:rFonts w:ascii="Cambria" w:hAnsi="Cambria"/>
          <w:sz w:val="20"/>
          <w:szCs w:val="20"/>
          <w:lang w:val="es-CO"/>
        </w:rPr>
        <w:t>. Específicamente, en lo relevante para el presente caso, respecto de las garantías para asegurar la inamovilidad, la Corte ha indicado que “</w:t>
      </w:r>
      <w:r w:rsidR="00E835D2" w:rsidRPr="00C364C3">
        <w:rPr>
          <w:rFonts w:ascii="Cambria" w:eastAsia="Times New Roman" w:hAnsi="Cambria"/>
          <w:sz w:val="20"/>
          <w:szCs w:val="20"/>
          <w:lang w:val="es-MX"/>
        </w:rPr>
        <w:t>se traducen en el derecho subjetivo del juez a que su separación del cargo obedezca exclusivamente a las causales permitidas, ya sea por medio de un proceso que cumpla con las garantías judiciales o porque se ha cumplido el término o período de su mandato”</w:t>
      </w:r>
      <w:r w:rsidR="00E835D2" w:rsidRPr="00C364C3">
        <w:rPr>
          <w:rStyle w:val="FootnoteReference"/>
          <w:rFonts w:ascii="Cambria" w:hAnsi="Cambria"/>
          <w:sz w:val="20"/>
          <w:szCs w:val="20"/>
          <w:lang w:val="es-CO"/>
        </w:rPr>
        <w:footnoteReference w:id="92"/>
      </w:r>
      <w:r w:rsidR="00E835D2" w:rsidRPr="00C364C3">
        <w:rPr>
          <w:rFonts w:ascii="Cambria" w:eastAsia="Times New Roman" w:hAnsi="Cambria"/>
          <w:sz w:val="20"/>
          <w:szCs w:val="20"/>
          <w:lang w:val="es-MX"/>
        </w:rPr>
        <w:t>. Cuando se afecta en forma arbitraria la permanencia de los y las juezas en su cargo, “se vulnera el derecho a la independencia judicial consagrado en el artículo 8.1 de la Convención”</w:t>
      </w:r>
      <w:r w:rsidR="00E835D2" w:rsidRPr="00C364C3">
        <w:rPr>
          <w:rStyle w:val="FootnoteReference"/>
          <w:rFonts w:ascii="Cambria" w:hAnsi="Cambria"/>
          <w:sz w:val="20"/>
          <w:szCs w:val="20"/>
          <w:lang w:val="es-CO"/>
        </w:rPr>
        <w:footnoteReference w:id="93"/>
      </w:r>
      <w:r w:rsidR="00E835D2" w:rsidRPr="00C364C3">
        <w:rPr>
          <w:rFonts w:ascii="Cambria" w:eastAsia="Times New Roman" w:hAnsi="Cambria"/>
          <w:sz w:val="20"/>
          <w:szCs w:val="20"/>
          <w:lang w:val="es-MX"/>
        </w:rPr>
        <w:t>.</w:t>
      </w:r>
    </w:p>
    <w:p w14:paraId="387FBB61" w14:textId="77777777" w:rsidR="006F6BCC" w:rsidRPr="00C364C3" w:rsidRDefault="006F6BCC" w:rsidP="006F6BC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VE"/>
        </w:rPr>
      </w:pPr>
    </w:p>
    <w:p w14:paraId="447FDB4E" w14:textId="4B19FF73" w:rsidR="00A321D3" w:rsidRPr="00C45892" w:rsidRDefault="00A321D3" w:rsidP="0097518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eastAsia="es-ES"/>
        </w:rPr>
      </w:pPr>
    </w:p>
    <w:p w14:paraId="139029A4" w14:textId="5DC4BBAE" w:rsidR="00C45892" w:rsidRDefault="001C077E" w:rsidP="00975184">
      <w:pPr>
        <w:pStyle w:val="Heading3"/>
        <w:keepLines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810"/>
        <w:jc w:val="both"/>
        <w:rPr>
          <w:color w:val="auto"/>
          <w:sz w:val="20"/>
          <w:szCs w:val="20"/>
          <w:lang w:val="es-ES"/>
        </w:rPr>
      </w:pPr>
      <w:bookmarkStart w:id="39" w:name="_Toc514247649"/>
      <w:r>
        <w:rPr>
          <w:color w:val="auto"/>
          <w:sz w:val="20"/>
          <w:szCs w:val="20"/>
          <w:lang w:val="es-ES"/>
        </w:rPr>
        <w:t>Los</w:t>
      </w:r>
      <w:r w:rsidR="00A321D3" w:rsidRPr="00A321D3">
        <w:rPr>
          <w:color w:val="auto"/>
          <w:sz w:val="20"/>
          <w:szCs w:val="20"/>
          <w:lang w:val="es-ES"/>
        </w:rPr>
        <w:t xml:space="preserve"> principio</w:t>
      </w:r>
      <w:r>
        <w:rPr>
          <w:color w:val="auto"/>
          <w:sz w:val="20"/>
          <w:szCs w:val="20"/>
          <w:lang w:val="es-ES"/>
        </w:rPr>
        <w:t>s</w:t>
      </w:r>
      <w:r w:rsidR="00A321D3" w:rsidRPr="00A321D3">
        <w:rPr>
          <w:color w:val="auto"/>
          <w:sz w:val="20"/>
          <w:szCs w:val="20"/>
          <w:lang w:val="es-ES"/>
        </w:rPr>
        <w:t xml:space="preserve"> de legalidad</w:t>
      </w:r>
      <w:r w:rsidR="002D358D">
        <w:rPr>
          <w:color w:val="auto"/>
          <w:sz w:val="20"/>
          <w:szCs w:val="20"/>
          <w:lang w:val="es-ES"/>
        </w:rPr>
        <w:t xml:space="preserve"> y</w:t>
      </w:r>
      <w:r w:rsidR="00B064FE">
        <w:rPr>
          <w:color w:val="auto"/>
          <w:sz w:val="20"/>
          <w:szCs w:val="20"/>
          <w:lang w:val="es-ES"/>
        </w:rPr>
        <w:t xml:space="preserve"> </w:t>
      </w:r>
      <w:r w:rsidR="00B064FE" w:rsidRPr="00C364C3">
        <w:rPr>
          <w:color w:val="auto"/>
          <w:sz w:val="20"/>
          <w:szCs w:val="20"/>
          <w:lang w:val="es-ES"/>
        </w:rPr>
        <w:t>favorabilidad</w:t>
      </w:r>
      <w:r w:rsidR="00A321D3" w:rsidRPr="00C364C3">
        <w:rPr>
          <w:rStyle w:val="FootnoteReference"/>
          <w:rFonts w:asciiTheme="majorHAnsi" w:hAnsiTheme="majorHAnsi"/>
          <w:color w:val="auto"/>
          <w:sz w:val="20"/>
          <w:szCs w:val="20"/>
        </w:rPr>
        <w:footnoteReference w:id="94"/>
      </w:r>
      <w:bookmarkEnd w:id="39"/>
    </w:p>
    <w:p w14:paraId="63A6EED6" w14:textId="77777777" w:rsidR="003B0BA5" w:rsidRPr="003B0BA5" w:rsidRDefault="003B0BA5" w:rsidP="00975184">
      <w:pPr>
        <w:rPr>
          <w:lang w:val="es-ES"/>
        </w:rPr>
      </w:pPr>
    </w:p>
    <w:p w14:paraId="5780F1D4" w14:textId="77777777" w:rsidR="00A321D3" w:rsidRPr="00A321D3" w:rsidRDefault="00A321D3" w:rsidP="0097518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Verdana"/>
          <w:sz w:val="20"/>
          <w:szCs w:val="20"/>
          <w:lang w:val="es-UY"/>
        </w:rPr>
      </w:pPr>
      <w:r w:rsidRPr="00A321D3">
        <w:rPr>
          <w:rFonts w:asciiTheme="majorHAnsi" w:hAnsiTheme="majorHAnsi"/>
          <w:sz w:val="20"/>
          <w:szCs w:val="20"/>
          <w:lang w:val="es-CL"/>
        </w:rPr>
        <w:t>El</w:t>
      </w:r>
      <w:r w:rsidRPr="00A321D3">
        <w:rPr>
          <w:rFonts w:asciiTheme="majorHAnsi" w:hAnsiTheme="majorHAnsi" w:cs="Verdana"/>
          <w:sz w:val="20"/>
          <w:szCs w:val="20"/>
          <w:lang w:val="es-UY"/>
        </w:rPr>
        <w:t xml:space="preserve"> principio de legalidad reconocido en el artículo 9 de la Convención preside la actuación de los órganos del Estado cuando deriva del ejercicio de su poder punitivo</w:t>
      </w:r>
      <w:r w:rsidRPr="00A321D3">
        <w:rPr>
          <w:rFonts w:asciiTheme="majorHAnsi" w:hAnsiTheme="majorHAnsi" w:cs="Verdana"/>
          <w:sz w:val="20"/>
          <w:szCs w:val="20"/>
          <w:vertAlign w:val="superscript"/>
          <w:lang w:val="es-UY"/>
        </w:rPr>
        <w:footnoteReference w:id="95"/>
      </w:r>
      <w:r w:rsidRPr="00A321D3">
        <w:rPr>
          <w:rFonts w:asciiTheme="majorHAnsi" w:hAnsiTheme="majorHAnsi" w:cs="Verdana"/>
          <w:sz w:val="20"/>
          <w:szCs w:val="20"/>
          <w:lang w:val="es-UY"/>
        </w:rPr>
        <w:t xml:space="preserve">. Como se indicó anteriormente, dicho principio es </w:t>
      </w:r>
      <w:r w:rsidRPr="008D7A7E">
        <w:rPr>
          <w:rFonts w:asciiTheme="majorHAnsi" w:hAnsiTheme="majorHAnsi"/>
          <w:sz w:val="20"/>
          <w:szCs w:val="20"/>
          <w:lang w:val="es-VE"/>
        </w:rPr>
        <w:t>aplicable</w:t>
      </w:r>
      <w:r w:rsidRPr="00A321D3">
        <w:rPr>
          <w:rFonts w:asciiTheme="majorHAnsi" w:hAnsiTheme="majorHAnsi" w:cs="Verdana"/>
          <w:sz w:val="20"/>
          <w:szCs w:val="20"/>
          <w:lang w:val="es-UY"/>
        </w:rPr>
        <w:t xml:space="preserve"> a los procesos </w:t>
      </w:r>
      <w:r w:rsidRPr="00A321D3">
        <w:rPr>
          <w:rFonts w:asciiTheme="majorHAnsi" w:hAnsiTheme="majorHAnsi"/>
          <w:sz w:val="20"/>
          <w:szCs w:val="20"/>
          <w:lang w:val="es-VE"/>
        </w:rPr>
        <w:t>disciplinarios</w:t>
      </w:r>
      <w:r w:rsidRPr="00A321D3">
        <w:rPr>
          <w:rFonts w:asciiTheme="majorHAnsi" w:hAnsiTheme="majorHAnsi" w:cs="Verdana"/>
          <w:sz w:val="20"/>
          <w:szCs w:val="20"/>
          <w:lang w:val="es-UY"/>
        </w:rPr>
        <w:t xml:space="preserve"> que son “una expresión del poder punitivo del Estado” puesto que implican un menoscabo o alteración de los derechos de las personas como consecuencia de una conducta ilícita</w:t>
      </w:r>
      <w:r w:rsidRPr="00A321D3">
        <w:rPr>
          <w:rFonts w:asciiTheme="majorHAnsi" w:hAnsiTheme="majorHAnsi" w:cs="Verdana"/>
          <w:sz w:val="20"/>
          <w:szCs w:val="20"/>
          <w:vertAlign w:val="superscript"/>
          <w:lang w:val="es-UY"/>
        </w:rPr>
        <w:footnoteReference w:id="96"/>
      </w:r>
      <w:r w:rsidRPr="00A321D3">
        <w:rPr>
          <w:rFonts w:asciiTheme="majorHAnsi" w:hAnsiTheme="majorHAnsi" w:cs="Verdana"/>
          <w:sz w:val="20"/>
          <w:szCs w:val="20"/>
          <w:lang w:val="es-UY"/>
        </w:rPr>
        <w:t xml:space="preserve">. </w:t>
      </w:r>
    </w:p>
    <w:p w14:paraId="08CA3D51" w14:textId="77777777" w:rsidR="00A321D3" w:rsidRPr="00A321D3" w:rsidRDefault="00A321D3" w:rsidP="00975184">
      <w:pPr>
        <w:tabs>
          <w:tab w:val="left" w:pos="720"/>
          <w:tab w:val="left" w:pos="1440"/>
        </w:tabs>
        <w:jc w:val="both"/>
        <w:rPr>
          <w:rFonts w:asciiTheme="majorHAnsi" w:hAnsiTheme="majorHAnsi" w:cs="Verdana"/>
          <w:sz w:val="20"/>
          <w:szCs w:val="20"/>
          <w:lang w:val="es-UY"/>
        </w:rPr>
      </w:pPr>
    </w:p>
    <w:p w14:paraId="519F0419" w14:textId="77777777" w:rsidR="00A321D3" w:rsidRPr="00A321D3" w:rsidRDefault="00A321D3" w:rsidP="0097518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Verdana"/>
          <w:sz w:val="20"/>
          <w:szCs w:val="20"/>
          <w:lang w:val="es-UY"/>
        </w:rPr>
      </w:pPr>
      <w:r w:rsidRPr="00A321D3">
        <w:rPr>
          <w:rFonts w:asciiTheme="majorHAnsi" w:hAnsiTheme="majorHAnsi" w:cs="Verdana"/>
          <w:sz w:val="20"/>
          <w:szCs w:val="20"/>
          <w:lang w:val="es-UY"/>
        </w:rPr>
        <w:t xml:space="preserve">En materia disciplinaria, el principio de legalidad exige que la ley exprese de manera detallada </w:t>
      </w:r>
      <w:r w:rsidRPr="00A321D3">
        <w:rPr>
          <w:rFonts w:asciiTheme="majorHAnsi" w:hAnsiTheme="majorHAnsi"/>
          <w:sz w:val="20"/>
          <w:szCs w:val="20"/>
          <w:lang w:val="es-ES_tradnl"/>
        </w:rPr>
        <w:t xml:space="preserve">las infracciones que pueden dar lugar a la imposición de medidas disciplinarias incluida la gravedad de la infracción y el </w:t>
      </w:r>
      <w:r w:rsidRPr="008D7A7E">
        <w:rPr>
          <w:rFonts w:asciiTheme="majorHAnsi" w:hAnsiTheme="majorHAnsi"/>
          <w:sz w:val="20"/>
          <w:szCs w:val="20"/>
          <w:lang w:val="es-VE"/>
        </w:rPr>
        <w:t>tipo</w:t>
      </w:r>
      <w:r w:rsidRPr="00A321D3">
        <w:rPr>
          <w:rFonts w:asciiTheme="majorHAnsi" w:hAnsiTheme="majorHAnsi"/>
          <w:sz w:val="20"/>
          <w:szCs w:val="20"/>
          <w:lang w:val="es-ES_tradnl"/>
        </w:rPr>
        <w:t xml:space="preserve"> de medida disciplinaria que se aplicará en el caso de que se trate. El principio de legalidad no sólo requiere que la causal disciplinaria tenga una base en el derecho interno, sino también que </w:t>
      </w:r>
      <w:r w:rsidRPr="00A321D3">
        <w:rPr>
          <w:rFonts w:asciiTheme="majorHAnsi" w:hAnsiTheme="majorHAnsi"/>
          <w:sz w:val="20"/>
          <w:szCs w:val="20"/>
          <w:lang w:val="es-VE" w:eastAsia="es-ES"/>
        </w:rPr>
        <w:t>la ley que la contenga sea accesible a las personas a las cuales se dirige y sea formulada con la suficiente precisión, para que puedan preverse en un grado razonable tanto las circunstancias como las consecuencias que una determinada acción puede entrañar</w:t>
      </w:r>
      <w:r w:rsidRPr="00A321D3">
        <w:rPr>
          <w:rFonts w:asciiTheme="majorHAnsi" w:hAnsiTheme="majorHAnsi"/>
          <w:sz w:val="20"/>
          <w:szCs w:val="20"/>
          <w:vertAlign w:val="superscript"/>
        </w:rPr>
        <w:footnoteReference w:id="97"/>
      </w:r>
      <w:r w:rsidRPr="00A321D3">
        <w:rPr>
          <w:rFonts w:asciiTheme="majorHAnsi" w:hAnsiTheme="majorHAnsi"/>
          <w:sz w:val="20"/>
          <w:szCs w:val="20"/>
          <w:lang w:val="es-VE" w:eastAsia="es-ES"/>
        </w:rPr>
        <w:t>.</w:t>
      </w:r>
    </w:p>
    <w:p w14:paraId="5C6D0B59" w14:textId="77777777" w:rsidR="00A321D3" w:rsidRPr="00A321D3" w:rsidRDefault="00A321D3" w:rsidP="00975184">
      <w:pPr>
        <w:tabs>
          <w:tab w:val="left" w:pos="1440"/>
        </w:tabs>
        <w:jc w:val="both"/>
        <w:rPr>
          <w:rFonts w:asciiTheme="majorHAnsi" w:hAnsiTheme="majorHAnsi" w:cs="Verdana"/>
          <w:sz w:val="20"/>
          <w:szCs w:val="20"/>
          <w:lang w:val="es-VE"/>
        </w:rPr>
      </w:pPr>
    </w:p>
    <w:p w14:paraId="5E592E1F" w14:textId="77777777" w:rsidR="00A321D3" w:rsidRPr="00A321D3" w:rsidRDefault="00A321D3" w:rsidP="0097518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Verdana"/>
          <w:sz w:val="20"/>
          <w:szCs w:val="20"/>
          <w:lang w:val="es-UY"/>
        </w:rPr>
      </w:pPr>
      <w:r w:rsidRPr="00A321D3">
        <w:rPr>
          <w:rFonts w:asciiTheme="majorHAnsi" w:hAnsiTheme="majorHAnsi" w:cs="Verdana"/>
          <w:sz w:val="20"/>
          <w:szCs w:val="20"/>
          <w:lang w:val="es-UY"/>
        </w:rPr>
        <w:t>Tanto la Corte como la Comisión han indicado que a mayor intensidad de una restricción, mayor debe ser la precisión de las disposiciones que la consagran</w:t>
      </w:r>
      <w:r w:rsidRPr="00A321D3">
        <w:rPr>
          <w:rStyle w:val="FootnoteReference"/>
          <w:rFonts w:asciiTheme="majorHAnsi" w:hAnsiTheme="majorHAnsi"/>
          <w:sz w:val="20"/>
          <w:szCs w:val="20"/>
        </w:rPr>
        <w:footnoteReference w:id="98"/>
      </w:r>
      <w:r w:rsidRPr="00A321D3">
        <w:rPr>
          <w:rFonts w:asciiTheme="majorHAnsi" w:hAnsiTheme="majorHAnsi" w:cs="Verdana"/>
          <w:sz w:val="20"/>
          <w:szCs w:val="20"/>
          <w:lang w:val="es-UY"/>
        </w:rPr>
        <w:t xml:space="preserve">.  En materia de jueces o juezas, la CIDH ha indicado que </w:t>
      </w:r>
      <w:r w:rsidRPr="00A321D3">
        <w:rPr>
          <w:rFonts w:asciiTheme="majorHAnsi" w:hAnsiTheme="majorHAnsi"/>
          <w:sz w:val="20"/>
          <w:szCs w:val="20"/>
          <w:lang w:val="es-ES_tradnl"/>
        </w:rPr>
        <w:t>las sanciones de suspensión o destitución deben corresponder sólo a faltas objetivamente muy graves. Es por ello que,</w:t>
      </w:r>
      <w:r w:rsidRPr="00A321D3">
        <w:rPr>
          <w:rFonts w:asciiTheme="majorHAnsi" w:hAnsiTheme="majorHAnsi"/>
          <w:sz w:val="20"/>
          <w:szCs w:val="20"/>
          <w:lang w:val="es-CO"/>
        </w:rPr>
        <w:t xml:space="preserve"> según lo ha recomendado el Consejo de Europa, el marco jurídico disciplinario debe incluir una gradualidad en las sanciones en función de la gravedad de la falta, las que pueden comprender el retiro de los casos del juez, la asignación de otras tareas, sanciones económicas y la suspensión”</w:t>
      </w:r>
      <w:r w:rsidRPr="00A321D3">
        <w:rPr>
          <w:rStyle w:val="FootnoteReference"/>
          <w:rFonts w:asciiTheme="majorHAnsi" w:hAnsiTheme="majorHAnsi"/>
          <w:sz w:val="20"/>
          <w:szCs w:val="20"/>
          <w:lang w:val="es-CO"/>
        </w:rPr>
        <w:footnoteReference w:id="99"/>
      </w:r>
      <w:r w:rsidRPr="00A321D3">
        <w:rPr>
          <w:rFonts w:asciiTheme="majorHAnsi" w:hAnsiTheme="majorHAnsi"/>
          <w:sz w:val="20"/>
          <w:szCs w:val="20"/>
          <w:lang w:val="es-CO"/>
        </w:rPr>
        <w:t>.</w:t>
      </w:r>
    </w:p>
    <w:p w14:paraId="1E4B3E78" w14:textId="77777777" w:rsidR="00A321D3" w:rsidRPr="00A321D3" w:rsidRDefault="00A321D3" w:rsidP="00975184">
      <w:pPr>
        <w:pStyle w:val="ListParagraph"/>
        <w:ind w:left="0"/>
        <w:rPr>
          <w:rFonts w:asciiTheme="majorHAnsi" w:hAnsiTheme="majorHAnsi" w:cs="Verdana"/>
          <w:sz w:val="20"/>
          <w:szCs w:val="20"/>
          <w:lang w:val="es-UY"/>
        </w:rPr>
      </w:pPr>
    </w:p>
    <w:p w14:paraId="1CF93F91" w14:textId="51CCB5AC" w:rsidR="001C7A7B" w:rsidRPr="00C364C3" w:rsidRDefault="00314CD2" w:rsidP="0097518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lang w:val="es-CO"/>
        </w:rPr>
      </w:pPr>
      <w:r w:rsidRPr="00C364C3">
        <w:rPr>
          <w:rFonts w:asciiTheme="majorHAnsi" w:hAnsiTheme="majorHAnsi" w:cs="Verdana"/>
          <w:sz w:val="20"/>
          <w:szCs w:val="20"/>
          <w:lang w:val="es-UY"/>
        </w:rPr>
        <w:t xml:space="preserve">Por otra parte, </w:t>
      </w:r>
      <w:r w:rsidR="00747D8B" w:rsidRPr="00C364C3">
        <w:rPr>
          <w:rFonts w:asciiTheme="majorHAnsi" w:hAnsiTheme="majorHAnsi" w:cs="Verdana"/>
          <w:sz w:val="20"/>
          <w:szCs w:val="20"/>
          <w:lang w:val="es-UY"/>
        </w:rPr>
        <w:t xml:space="preserve">la Corte ha señalado conforme al artículo 9 de la Convención, </w:t>
      </w:r>
      <w:r w:rsidR="00747D8B" w:rsidRPr="00C364C3">
        <w:rPr>
          <w:rFonts w:asciiTheme="majorHAnsi" w:hAnsiTheme="majorHAnsi"/>
          <w:sz w:val="20"/>
          <w:lang w:val="es-CO"/>
        </w:rPr>
        <w:t xml:space="preserve">el Estado se encuentra impedido de ejercer su poder punitivo en el sentido de aplicar de modo retroactivo leyes penales que aumenten las penas, </w:t>
      </w:r>
      <w:r w:rsidR="00747D8B" w:rsidRPr="00C364C3">
        <w:rPr>
          <w:rFonts w:asciiTheme="majorHAnsi" w:hAnsiTheme="majorHAnsi" w:cs="Verdana"/>
          <w:sz w:val="20"/>
          <w:szCs w:val="20"/>
          <w:lang w:val="es-UY"/>
        </w:rPr>
        <w:t>establezcan</w:t>
      </w:r>
      <w:r w:rsidR="00747D8B" w:rsidRPr="00C364C3">
        <w:rPr>
          <w:rFonts w:asciiTheme="majorHAnsi" w:hAnsiTheme="majorHAnsi"/>
          <w:sz w:val="20"/>
          <w:lang w:val="es-CO"/>
        </w:rPr>
        <w:t xml:space="preserve"> circunstancias agravantes o cr</w:t>
      </w:r>
      <w:r w:rsidR="00E060A3" w:rsidRPr="00C364C3">
        <w:rPr>
          <w:rFonts w:asciiTheme="majorHAnsi" w:hAnsiTheme="majorHAnsi"/>
          <w:sz w:val="20"/>
          <w:lang w:val="es-CO"/>
        </w:rPr>
        <w:t>een figuras agravadas de delito</w:t>
      </w:r>
      <w:r w:rsidR="00747D8B" w:rsidRPr="00C364C3">
        <w:rPr>
          <w:rStyle w:val="FootnoteReference"/>
          <w:rFonts w:asciiTheme="majorHAnsi" w:hAnsiTheme="majorHAnsi" w:cs="Verdana"/>
          <w:sz w:val="20"/>
          <w:szCs w:val="20"/>
          <w:lang w:val="es-CO"/>
        </w:rPr>
        <w:footnoteReference w:id="100"/>
      </w:r>
      <w:r w:rsidR="00E060A3" w:rsidRPr="00C364C3">
        <w:rPr>
          <w:rFonts w:asciiTheme="majorHAnsi" w:hAnsiTheme="majorHAnsi"/>
          <w:sz w:val="20"/>
          <w:lang w:val="es-CO"/>
        </w:rPr>
        <w:t>. Como correlato de lo anterior, la Corte también estableció que la misma norma también contempla el principio de la retroactividad de la ley penal más favorable</w:t>
      </w:r>
      <w:r w:rsidR="001B2A7D" w:rsidRPr="00C364C3">
        <w:rPr>
          <w:rFonts w:asciiTheme="majorHAnsi" w:hAnsiTheme="majorHAnsi"/>
          <w:sz w:val="20"/>
          <w:lang w:val="es-CO"/>
        </w:rPr>
        <w:t xml:space="preserve"> “al indicar que si con posterioridad a la comisión del delito la ley dispone la imposición de una pena más leve, el condenado se beneficiará de ello”</w:t>
      </w:r>
      <w:r w:rsidR="001B2A7D" w:rsidRPr="00C364C3">
        <w:rPr>
          <w:rStyle w:val="FootnoteReference"/>
          <w:rFonts w:asciiTheme="majorHAnsi" w:hAnsiTheme="majorHAnsi" w:cs="Verdana"/>
          <w:sz w:val="20"/>
          <w:szCs w:val="20"/>
          <w:lang w:val="es-CO"/>
        </w:rPr>
        <w:footnoteReference w:id="101"/>
      </w:r>
      <w:r w:rsidR="001B2A7D" w:rsidRPr="00C364C3">
        <w:rPr>
          <w:rFonts w:asciiTheme="majorHAnsi" w:hAnsiTheme="majorHAnsi"/>
          <w:sz w:val="20"/>
          <w:lang w:val="es-CO"/>
        </w:rPr>
        <w:t>.</w:t>
      </w:r>
      <w:r w:rsidR="00FC5DF0" w:rsidRPr="00C364C3">
        <w:rPr>
          <w:rFonts w:asciiTheme="majorHAnsi" w:hAnsiTheme="majorHAnsi"/>
          <w:sz w:val="20"/>
          <w:lang w:val="es-CO"/>
        </w:rPr>
        <w:t xml:space="preserve"> </w:t>
      </w:r>
      <w:r w:rsidR="006303CD" w:rsidRPr="00C364C3">
        <w:rPr>
          <w:rFonts w:asciiTheme="majorHAnsi" w:hAnsiTheme="majorHAnsi"/>
          <w:sz w:val="20"/>
          <w:lang w:val="es-CO"/>
        </w:rPr>
        <w:t xml:space="preserve">La Corte enfatizó que este componente </w:t>
      </w:r>
      <w:r w:rsidR="00FC5DF0" w:rsidRPr="00C364C3">
        <w:rPr>
          <w:rFonts w:asciiTheme="majorHAnsi" w:hAnsiTheme="majorHAnsi"/>
          <w:sz w:val="20"/>
          <w:lang w:val="es-CO"/>
        </w:rPr>
        <w:t>del artículo 9 de la Convención</w:t>
      </w:r>
      <w:r w:rsidR="006303CD" w:rsidRPr="00C364C3">
        <w:rPr>
          <w:rFonts w:asciiTheme="majorHAnsi" w:hAnsiTheme="majorHAnsi"/>
          <w:sz w:val="20"/>
          <w:lang w:val="es-CO"/>
        </w:rPr>
        <w:t xml:space="preserve"> también resulta aplicable al ámbito administrativo sancionatorio</w:t>
      </w:r>
      <w:r w:rsidR="004250E6" w:rsidRPr="00C364C3">
        <w:rPr>
          <w:rStyle w:val="FootnoteReference"/>
          <w:rFonts w:asciiTheme="majorHAnsi" w:hAnsiTheme="majorHAnsi" w:cs="Verdana"/>
          <w:sz w:val="20"/>
          <w:szCs w:val="20"/>
          <w:lang w:val="es-CO"/>
        </w:rPr>
        <w:footnoteReference w:id="102"/>
      </w:r>
      <w:r w:rsidR="006303CD" w:rsidRPr="00C364C3">
        <w:rPr>
          <w:rFonts w:asciiTheme="majorHAnsi" w:hAnsiTheme="majorHAnsi"/>
          <w:sz w:val="20"/>
          <w:lang w:val="es-CO"/>
        </w:rPr>
        <w:t xml:space="preserve">. </w:t>
      </w:r>
    </w:p>
    <w:p w14:paraId="57E18E0B" w14:textId="77777777" w:rsidR="001C7A7B" w:rsidRPr="00C364C3" w:rsidRDefault="001C7A7B" w:rsidP="00975184">
      <w:pPr>
        <w:pStyle w:val="ListParagraph"/>
        <w:rPr>
          <w:rFonts w:asciiTheme="majorHAnsi" w:hAnsiTheme="majorHAnsi"/>
          <w:sz w:val="20"/>
          <w:lang w:val="es-CO"/>
        </w:rPr>
      </w:pPr>
    </w:p>
    <w:p w14:paraId="4E44A767" w14:textId="5B3171F1" w:rsidR="00FC5DF0" w:rsidRDefault="001C7A7B" w:rsidP="00C364C3">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lang w:val="es-CO"/>
        </w:rPr>
      </w:pPr>
      <w:r w:rsidRPr="00C364C3">
        <w:rPr>
          <w:rFonts w:asciiTheme="majorHAnsi" w:hAnsiTheme="majorHAnsi"/>
          <w:sz w:val="20"/>
          <w:lang w:val="es-CO"/>
        </w:rPr>
        <w:t>Sobre el alcance y contenido de la favorabilidad prevista en dicha norma, la</w:t>
      </w:r>
      <w:r w:rsidR="00FC5DF0" w:rsidRPr="00C364C3">
        <w:rPr>
          <w:rFonts w:asciiTheme="majorHAnsi" w:hAnsiTheme="majorHAnsi"/>
          <w:sz w:val="20"/>
          <w:lang w:val="es-CO"/>
        </w:rPr>
        <w:t xml:space="preserve"> Corte Interamericana indic</w:t>
      </w:r>
      <w:r w:rsidR="009847F7" w:rsidRPr="00C364C3">
        <w:rPr>
          <w:rFonts w:asciiTheme="majorHAnsi" w:hAnsiTheme="majorHAnsi"/>
          <w:sz w:val="20"/>
          <w:lang w:val="es-CO"/>
        </w:rPr>
        <w:t>ó que:</w:t>
      </w:r>
    </w:p>
    <w:p w14:paraId="12ED2091" w14:textId="77777777" w:rsidR="00C364C3" w:rsidRPr="00C364C3" w:rsidRDefault="00C364C3" w:rsidP="00C364C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lang w:val="es-CO"/>
        </w:rPr>
      </w:pPr>
    </w:p>
    <w:p w14:paraId="1C1B5E6C" w14:textId="00EE2C38" w:rsidR="009847F7" w:rsidRPr="00C364C3" w:rsidRDefault="009847F7" w:rsidP="00975184">
      <w:pPr>
        <w:pStyle w:val="BodyText"/>
        <w:tabs>
          <w:tab w:val="left" w:pos="720"/>
          <w:tab w:val="left" w:pos="1260"/>
          <w:tab w:val="left" w:pos="1440"/>
        </w:tabs>
        <w:spacing w:after="0"/>
        <w:ind w:left="720" w:right="634"/>
        <w:jc w:val="both"/>
        <w:rPr>
          <w:rFonts w:asciiTheme="majorHAnsi" w:hAnsiTheme="majorHAnsi"/>
          <w:lang w:val="es-CO"/>
        </w:rPr>
      </w:pPr>
      <w:r w:rsidRPr="00C364C3">
        <w:rPr>
          <w:rFonts w:asciiTheme="majorHAnsi" w:hAnsiTheme="majorHAnsi"/>
          <w:lang w:val="es-CO"/>
        </w:rPr>
        <w:t xml:space="preserve">(…) debe interpretarse como ley penal más favorable tanto a aquella que establece una pena menor respecto de los delitos, como a la que comprende a las leyes que desincriminan una conducta anteriormente considerada como delito, crean una nueva causa de justificación, de inculpabilidad, y de impedimento a la operatividad de una penalidad, entre otras.  Dichos supuestos no constituyen una enumeración taxativa de los casos que merecen la aplicación del principio de retroactividad de la ley penal más favorable. Cabe destacar que el principio de retroactividad se aplica respecto de las leyes que se hubieren sancionado antes de la emisión de la sentencia, así como durante la ejecución de la misma, ya que </w:t>
      </w:r>
      <w:smartTag w:uri="urn:schemas-microsoft-com:office:smarttags" w:element="PersonName">
        <w:smartTagPr>
          <w:attr w:name="ProductID" w:val="la Convenci￳n"/>
        </w:smartTagPr>
        <w:r w:rsidRPr="00C364C3">
          <w:rPr>
            <w:rFonts w:asciiTheme="majorHAnsi" w:hAnsiTheme="majorHAnsi"/>
            <w:lang w:val="es-CO"/>
          </w:rPr>
          <w:t>la Convención</w:t>
        </w:r>
      </w:smartTag>
      <w:r w:rsidRPr="00C364C3">
        <w:rPr>
          <w:rFonts w:asciiTheme="majorHAnsi" w:hAnsiTheme="majorHAnsi"/>
          <w:lang w:val="es-CO"/>
        </w:rPr>
        <w:t xml:space="preserve"> no establece un límite en este sentido</w:t>
      </w:r>
      <w:r w:rsidRPr="00C364C3">
        <w:rPr>
          <w:rStyle w:val="FootnoteReference"/>
          <w:rFonts w:asciiTheme="majorHAnsi" w:hAnsiTheme="majorHAnsi" w:cs="Verdana"/>
          <w:sz w:val="20"/>
          <w:lang w:val="es-CO"/>
        </w:rPr>
        <w:footnoteReference w:id="103"/>
      </w:r>
      <w:r w:rsidRPr="00C364C3">
        <w:rPr>
          <w:rFonts w:asciiTheme="majorHAnsi" w:hAnsiTheme="majorHAnsi"/>
          <w:lang w:val="es-CO"/>
        </w:rPr>
        <w:t xml:space="preserve">.  </w:t>
      </w:r>
    </w:p>
    <w:p w14:paraId="1E42A88C" w14:textId="77777777" w:rsidR="004F6294" w:rsidRPr="00C364C3" w:rsidRDefault="004F6294" w:rsidP="00C364C3">
      <w:pPr>
        <w:pStyle w:val="BodyText"/>
        <w:tabs>
          <w:tab w:val="left" w:pos="720"/>
          <w:tab w:val="left" w:pos="1260"/>
          <w:tab w:val="left" w:pos="1440"/>
        </w:tabs>
        <w:spacing w:after="0"/>
        <w:ind w:right="634"/>
        <w:jc w:val="both"/>
        <w:rPr>
          <w:rFonts w:asciiTheme="majorHAnsi" w:hAnsiTheme="majorHAnsi"/>
          <w:lang w:val="es-CO"/>
        </w:rPr>
      </w:pPr>
    </w:p>
    <w:p w14:paraId="4746906C" w14:textId="2B5EE2DA" w:rsidR="00E9692A" w:rsidRPr="00C364C3" w:rsidRDefault="00E9692A" w:rsidP="00975184">
      <w:pPr>
        <w:pStyle w:val="BodyText"/>
        <w:tabs>
          <w:tab w:val="left" w:pos="720"/>
          <w:tab w:val="left" w:pos="1260"/>
          <w:tab w:val="left" w:pos="1440"/>
        </w:tabs>
        <w:spacing w:after="0"/>
        <w:ind w:left="720" w:right="634"/>
        <w:jc w:val="both"/>
        <w:rPr>
          <w:rFonts w:asciiTheme="majorHAnsi" w:hAnsiTheme="majorHAnsi"/>
          <w:lang w:val="es-CO"/>
        </w:rPr>
      </w:pPr>
      <w:r w:rsidRPr="00C364C3">
        <w:rPr>
          <w:rFonts w:asciiTheme="majorHAnsi" w:hAnsiTheme="majorHAnsi"/>
          <w:lang w:val="es-CO"/>
        </w:rPr>
        <w:t>(…)</w:t>
      </w:r>
    </w:p>
    <w:p w14:paraId="707D9ED1" w14:textId="77777777" w:rsidR="004F6294" w:rsidRPr="00C364C3" w:rsidRDefault="004F6294" w:rsidP="00975184">
      <w:pPr>
        <w:pStyle w:val="BodyText"/>
        <w:tabs>
          <w:tab w:val="left" w:pos="720"/>
          <w:tab w:val="left" w:pos="1260"/>
          <w:tab w:val="left" w:pos="1440"/>
        </w:tabs>
        <w:spacing w:after="0"/>
        <w:ind w:left="720" w:right="634"/>
        <w:jc w:val="both"/>
        <w:rPr>
          <w:rFonts w:asciiTheme="majorHAnsi" w:hAnsiTheme="majorHAnsi"/>
          <w:lang w:val="es-CO"/>
        </w:rPr>
      </w:pPr>
    </w:p>
    <w:p w14:paraId="456F1C4A" w14:textId="7E48B6A2" w:rsidR="00E9692A" w:rsidRPr="004F6294" w:rsidRDefault="00E9692A" w:rsidP="00975184">
      <w:pPr>
        <w:pStyle w:val="BodyText"/>
        <w:tabs>
          <w:tab w:val="left" w:pos="720"/>
          <w:tab w:val="left" w:pos="1260"/>
          <w:tab w:val="left" w:pos="1440"/>
        </w:tabs>
        <w:spacing w:after="0"/>
        <w:ind w:left="720" w:right="634"/>
        <w:jc w:val="both"/>
        <w:rPr>
          <w:rFonts w:asciiTheme="majorHAnsi" w:hAnsiTheme="majorHAnsi"/>
          <w:lang w:val="es-CO"/>
        </w:rPr>
      </w:pPr>
      <w:r w:rsidRPr="00C364C3">
        <w:rPr>
          <w:rFonts w:asciiTheme="majorHAnsi" w:hAnsiTheme="majorHAnsi"/>
          <w:lang w:val="es-CO"/>
        </w:rPr>
        <w:t>Según lo ha establecido este Tribunal, si a una situación son aplicables dos normas distintas, “debe prevalecer la norma más favorable a la persona humana”</w:t>
      </w:r>
      <w:r w:rsidRPr="00C364C3">
        <w:rPr>
          <w:rStyle w:val="FootnoteReference"/>
          <w:rFonts w:asciiTheme="majorHAnsi" w:hAnsiTheme="majorHAnsi" w:cs="Verdana"/>
          <w:sz w:val="20"/>
          <w:lang w:val="es-CO"/>
        </w:rPr>
        <w:footnoteReference w:id="104"/>
      </w:r>
      <w:r w:rsidRPr="00C364C3">
        <w:rPr>
          <w:rFonts w:asciiTheme="majorHAnsi" w:hAnsiTheme="majorHAnsi"/>
          <w:lang w:val="es-CO"/>
        </w:rPr>
        <w:t>.</w:t>
      </w:r>
    </w:p>
    <w:p w14:paraId="481092FB" w14:textId="77777777" w:rsidR="00691AAF" w:rsidRPr="008B4BC7" w:rsidRDefault="00691AAF" w:rsidP="00975184">
      <w:pPr>
        <w:rPr>
          <w:rFonts w:asciiTheme="majorHAnsi" w:hAnsiTheme="majorHAnsi" w:cs="Verdana"/>
          <w:sz w:val="20"/>
          <w:szCs w:val="20"/>
          <w:lang w:val="es-CO"/>
        </w:rPr>
      </w:pPr>
    </w:p>
    <w:p w14:paraId="47A847F4" w14:textId="076D6C6D" w:rsidR="00A321D3" w:rsidRPr="00A321D3" w:rsidRDefault="00A321D3" w:rsidP="0097518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Verdana"/>
          <w:sz w:val="20"/>
          <w:szCs w:val="20"/>
          <w:lang w:val="es-UY"/>
        </w:rPr>
      </w:pPr>
      <w:r w:rsidRPr="00A321D3">
        <w:rPr>
          <w:rFonts w:asciiTheme="majorHAnsi" w:hAnsiTheme="majorHAnsi" w:cs="Verdana"/>
          <w:sz w:val="20"/>
          <w:szCs w:val="20"/>
          <w:lang w:val="es-UY"/>
        </w:rPr>
        <w:t xml:space="preserve">En el presente caso, el Consejo Nacional de la Magistratura dispuso la destitución de la presunta </w:t>
      </w:r>
      <w:r w:rsidRPr="008D7A7E">
        <w:rPr>
          <w:rFonts w:asciiTheme="majorHAnsi" w:hAnsiTheme="majorHAnsi" w:cs="Verdana"/>
          <w:sz w:val="20"/>
          <w:szCs w:val="20"/>
          <w:lang w:val="es-UY"/>
        </w:rPr>
        <w:t xml:space="preserve">víctima </w:t>
      </w:r>
      <w:r w:rsidRPr="008D7A7E">
        <w:rPr>
          <w:rFonts w:asciiTheme="majorHAnsi" w:hAnsiTheme="majorHAnsi"/>
          <w:sz w:val="20"/>
          <w:lang w:val="es-CO"/>
        </w:rPr>
        <w:t>como</w:t>
      </w:r>
      <w:r w:rsidRPr="008D7A7E">
        <w:rPr>
          <w:rFonts w:asciiTheme="majorHAnsi" w:hAnsiTheme="majorHAnsi" w:cs="Verdana"/>
          <w:sz w:val="20"/>
          <w:szCs w:val="20"/>
          <w:lang w:val="es-UY"/>
        </w:rPr>
        <w:t xml:space="preserve"> juez</w:t>
      </w:r>
      <w:r w:rsidRPr="00A321D3">
        <w:rPr>
          <w:rFonts w:asciiTheme="majorHAnsi" w:hAnsiTheme="majorHAnsi" w:cs="Verdana"/>
          <w:sz w:val="20"/>
          <w:szCs w:val="20"/>
          <w:lang w:val="es-UY"/>
        </w:rPr>
        <w:t xml:space="preserve">, en virtud del artículo 31 de la Ley Orgánica de la Magistratura que establecía que procede aplicar la sanción de destitución “por la comisión de un hecho grave que sin ser delito compromete la dignidad del cargo y la desmerezca en el concepto público”. </w:t>
      </w:r>
    </w:p>
    <w:p w14:paraId="1DDD24A0" w14:textId="77777777" w:rsidR="00A321D3" w:rsidRPr="00A321D3" w:rsidRDefault="00A321D3" w:rsidP="00975184">
      <w:pPr>
        <w:pStyle w:val="ListParagraph"/>
        <w:rPr>
          <w:rFonts w:asciiTheme="majorHAnsi" w:hAnsiTheme="majorHAnsi" w:cs="Verdana"/>
          <w:sz w:val="20"/>
          <w:szCs w:val="20"/>
          <w:lang w:val="es-UY"/>
        </w:rPr>
      </w:pPr>
    </w:p>
    <w:p w14:paraId="59B1D2B5" w14:textId="35DBBBF8" w:rsidR="00A469C1" w:rsidRPr="00C364C3" w:rsidRDefault="00A469C1" w:rsidP="0097518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Verdana"/>
          <w:sz w:val="20"/>
          <w:szCs w:val="20"/>
          <w:lang w:val="es-UY"/>
        </w:rPr>
      </w:pPr>
      <w:r w:rsidRPr="00C364C3">
        <w:rPr>
          <w:rFonts w:asciiTheme="majorHAnsi" w:hAnsiTheme="majorHAnsi" w:cs="Verdana"/>
          <w:sz w:val="20"/>
          <w:szCs w:val="20"/>
          <w:lang w:val="es-UY"/>
        </w:rPr>
        <w:t>La Comisión observa en primer lugar que esta causal prevista en la norma y aplicada al señ</w:t>
      </w:r>
      <w:r w:rsidR="00802E5B" w:rsidRPr="00C364C3">
        <w:rPr>
          <w:rFonts w:asciiTheme="majorHAnsi" w:hAnsiTheme="majorHAnsi" w:cs="Verdana"/>
          <w:sz w:val="20"/>
          <w:szCs w:val="20"/>
          <w:lang w:val="es-UY"/>
        </w:rPr>
        <w:t>or Cordero Bernal, reviste de significativa amplitud</w:t>
      </w:r>
      <w:r w:rsidR="007209ED" w:rsidRPr="00C364C3">
        <w:rPr>
          <w:rFonts w:asciiTheme="majorHAnsi" w:hAnsiTheme="majorHAnsi" w:cs="Verdana"/>
          <w:sz w:val="20"/>
          <w:szCs w:val="20"/>
          <w:lang w:val="es-UY"/>
        </w:rPr>
        <w:t xml:space="preserve"> y no hace referencia a conductas concretas que resultan reprochables disciplinariamente. </w:t>
      </w:r>
      <w:r w:rsidR="00FD62C7" w:rsidRPr="00C364C3">
        <w:rPr>
          <w:rFonts w:asciiTheme="majorHAnsi" w:hAnsiTheme="majorHAnsi" w:cs="Verdana"/>
          <w:sz w:val="20"/>
          <w:szCs w:val="20"/>
          <w:lang w:val="es-UY"/>
        </w:rPr>
        <w:t>Asimismo, la Comisión nota que, contrario a los estándares citados, el marco normativo no distingue las sanciones aplicables de conformidad con el nivel de gravedad de causales previamente delimitadas, de manera que la autoridad</w:t>
      </w:r>
      <w:r w:rsidR="00165600" w:rsidRPr="00C364C3">
        <w:rPr>
          <w:rFonts w:asciiTheme="majorHAnsi" w:hAnsiTheme="majorHAnsi" w:cs="Verdana"/>
          <w:sz w:val="20"/>
          <w:szCs w:val="20"/>
          <w:lang w:val="es-UY"/>
        </w:rPr>
        <w:t xml:space="preserve"> disciplinaria cuente con elementos para asegurar que la sanción impuesta sea proporcional a la gravedad de la conducta reprochable del juez. </w:t>
      </w:r>
      <w:r w:rsidR="003A6D28" w:rsidRPr="00C364C3">
        <w:rPr>
          <w:rFonts w:asciiTheme="majorHAnsi" w:hAnsiTheme="majorHAnsi" w:cs="Verdana"/>
          <w:sz w:val="20"/>
          <w:szCs w:val="20"/>
          <w:lang w:val="es-UY"/>
        </w:rPr>
        <w:t xml:space="preserve">La Comisión considera que </w:t>
      </w:r>
      <w:r w:rsidR="00243D48" w:rsidRPr="00C364C3">
        <w:rPr>
          <w:rFonts w:asciiTheme="majorHAnsi" w:hAnsiTheme="majorHAnsi" w:cs="Verdana"/>
          <w:sz w:val="20"/>
          <w:szCs w:val="20"/>
          <w:lang w:val="es-UY"/>
        </w:rPr>
        <w:t>la sola referencia a “hecho grave”, sin indicación alguna sobre qué debe entenderse por tal, no satisface el principio de legalidad en materia disciplinaria.</w:t>
      </w:r>
    </w:p>
    <w:p w14:paraId="1D279758" w14:textId="77777777" w:rsidR="00165600" w:rsidRPr="00165600" w:rsidRDefault="00165600" w:rsidP="0097518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s="Verdana"/>
          <w:sz w:val="20"/>
          <w:szCs w:val="20"/>
          <w:lang w:val="es-UY"/>
        </w:rPr>
      </w:pPr>
    </w:p>
    <w:p w14:paraId="47D2BE74" w14:textId="2CF5EFD5" w:rsidR="00A321D3" w:rsidRPr="00B93840" w:rsidRDefault="004E5870" w:rsidP="0097518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cs="Verdana"/>
          <w:sz w:val="20"/>
          <w:szCs w:val="20"/>
          <w:lang w:val="es-UY"/>
        </w:rPr>
      </w:pPr>
      <w:r w:rsidRPr="00C364C3">
        <w:rPr>
          <w:rFonts w:asciiTheme="majorHAnsi" w:hAnsiTheme="majorHAnsi" w:cs="Verdana"/>
          <w:sz w:val="20"/>
          <w:szCs w:val="20"/>
          <w:lang w:val="es-UY"/>
        </w:rPr>
        <w:t xml:space="preserve">En segundo lugar, </w:t>
      </w:r>
      <w:r w:rsidR="00A321D3" w:rsidRPr="00C364C3">
        <w:rPr>
          <w:rFonts w:asciiTheme="majorHAnsi" w:hAnsiTheme="majorHAnsi" w:cs="Verdana"/>
          <w:sz w:val="20"/>
          <w:szCs w:val="20"/>
          <w:lang w:val="es-UY"/>
        </w:rPr>
        <w:t xml:space="preserve">la Comisión hace notar que el artículo 211 de la Ley Orgánica del Poder Judicial establecía que procede la destitución al Magistrado que ha cometido un hecho grave que sin ser delito, compromete la dignidad del </w:t>
      </w:r>
      <w:r w:rsidR="00A321D3" w:rsidRPr="00C364C3">
        <w:rPr>
          <w:rFonts w:asciiTheme="majorHAnsi" w:hAnsiTheme="majorHAnsi"/>
          <w:sz w:val="20"/>
          <w:lang w:val="es-CO"/>
        </w:rPr>
        <w:t>cargo</w:t>
      </w:r>
      <w:r w:rsidR="00A321D3" w:rsidRPr="00C364C3">
        <w:rPr>
          <w:rFonts w:asciiTheme="majorHAnsi" w:hAnsiTheme="majorHAnsi" w:cs="Verdana"/>
          <w:sz w:val="20"/>
          <w:szCs w:val="20"/>
          <w:lang w:val="es-UY"/>
        </w:rPr>
        <w:t xml:space="preserve"> y la desmerezca en el concepto público “siempre que haya sido sancionado c</w:t>
      </w:r>
      <w:r w:rsidR="005442A6" w:rsidRPr="00C364C3">
        <w:rPr>
          <w:rFonts w:asciiTheme="majorHAnsi" w:hAnsiTheme="majorHAnsi" w:cs="Verdana"/>
          <w:sz w:val="20"/>
          <w:szCs w:val="20"/>
          <w:lang w:val="es-UY"/>
        </w:rPr>
        <w:t xml:space="preserve">on suspensión anteriormente”. </w:t>
      </w:r>
      <w:r w:rsidR="00A321D3" w:rsidRPr="00C364C3">
        <w:rPr>
          <w:rFonts w:asciiTheme="majorHAnsi" w:hAnsiTheme="majorHAnsi" w:cs="Verdana"/>
          <w:sz w:val="20"/>
          <w:szCs w:val="20"/>
          <w:lang w:val="es-UY"/>
        </w:rPr>
        <w:t>Asimismo</w:t>
      </w:r>
      <w:r w:rsidR="00A321D3" w:rsidRPr="00A321D3">
        <w:rPr>
          <w:rFonts w:asciiTheme="majorHAnsi" w:hAnsiTheme="majorHAnsi" w:cs="Verdana"/>
          <w:sz w:val="20"/>
          <w:szCs w:val="20"/>
          <w:lang w:val="es-UY"/>
        </w:rPr>
        <w:t xml:space="preserve">, el artículo 10 de la misma norma legal estipulaba que la suspensión procede por incurrir en un hecho grave, después de haber sido sancionado tres veces con multa. </w:t>
      </w:r>
      <w:r w:rsidR="00A321D3" w:rsidRPr="00B93840">
        <w:rPr>
          <w:rFonts w:asciiTheme="majorHAnsi" w:hAnsiTheme="majorHAnsi" w:cs="Verdana"/>
          <w:sz w:val="20"/>
          <w:szCs w:val="20"/>
          <w:lang w:val="es-UY"/>
        </w:rPr>
        <w:t xml:space="preserve">La Comisión toma nota que, según informó el peticionario, y el Estado no controvirtió, no había sido sancionado con multa ni con suspensión previamente a su destitución, sin embargo se le impuso la sanción más severa. </w:t>
      </w:r>
    </w:p>
    <w:p w14:paraId="7AE1480C" w14:textId="77777777" w:rsidR="00A321D3" w:rsidRPr="00A321D3" w:rsidRDefault="00A321D3" w:rsidP="00975184">
      <w:pPr>
        <w:pStyle w:val="ListParagraph"/>
        <w:rPr>
          <w:rFonts w:asciiTheme="majorHAnsi" w:hAnsiTheme="majorHAnsi"/>
          <w:sz w:val="20"/>
          <w:szCs w:val="20"/>
          <w:lang w:val="es-UY"/>
        </w:rPr>
      </w:pPr>
    </w:p>
    <w:p w14:paraId="7892BE67" w14:textId="55DA23E4" w:rsidR="00FD6FB3" w:rsidRPr="00666A92" w:rsidRDefault="00A321D3" w:rsidP="00666A92">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UY"/>
        </w:rPr>
      </w:pPr>
      <w:r w:rsidRPr="00C364C3">
        <w:rPr>
          <w:rFonts w:asciiTheme="majorHAnsi" w:hAnsiTheme="majorHAnsi"/>
          <w:sz w:val="20"/>
          <w:szCs w:val="20"/>
          <w:lang w:val="es-UY"/>
        </w:rPr>
        <w:t xml:space="preserve">La Comisión </w:t>
      </w:r>
      <w:r w:rsidR="00C91A63" w:rsidRPr="00C364C3">
        <w:rPr>
          <w:rFonts w:asciiTheme="majorHAnsi" w:hAnsiTheme="majorHAnsi"/>
          <w:sz w:val="20"/>
          <w:szCs w:val="20"/>
          <w:lang w:val="es-UY"/>
        </w:rPr>
        <w:t xml:space="preserve">nota </w:t>
      </w:r>
      <w:r w:rsidR="007D6A1B" w:rsidRPr="00C364C3">
        <w:rPr>
          <w:rFonts w:asciiTheme="majorHAnsi" w:hAnsiTheme="majorHAnsi"/>
          <w:sz w:val="20"/>
          <w:szCs w:val="20"/>
          <w:lang w:val="es-UY"/>
        </w:rPr>
        <w:t xml:space="preserve">que el Ley Orgánica del Consejo Nacional de la Magistratura, también vigente en ese momento, no establecía en su artículo 31, la condición de la suspensión previa para que fuera aplicable la destitución. </w:t>
      </w:r>
      <w:r w:rsidR="00642F90" w:rsidRPr="00C364C3">
        <w:rPr>
          <w:rFonts w:asciiTheme="majorHAnsi" w:hAnsiTheme="majorHAnsi"/>
          <w:sz w:val="20"/>
          <w:szCs w:val="20"/>
          <w:lang w:val="es-UY"/>
        </w:rPr>
        <w:t xml:space="preserve">Sin embargo, la CIDH </w:t>
      </w:r>
      <w:r w:rsidRPr="00C364C3">
        <w:rPr>
          <w:rFonts w:asciiTheme="majorHAnsi" w:hAnsiTheme="majorHAnsi"/>
          <w:sz w:val="20"/>
          <w:szCs w:val="20"/>
          <w:lang w:val="es-UY"/>
        </w:rPr>
        <w:t xml:space="preserve">estima que la coexistencia de dos normas distintas que estipulaban la posibilidad de  aplicar o la sanción de destitución o la de suspensión, por “incurrir en un hecho grave”, afectó el principio de legalidad estipulado en el artículo 9 de la Convención, el cual exige la suficiente precisión normativa para que sean previsibles tanto las conductas sancionables, como las consecuencias que estas pueden entrañar. </w:t>
      </w:r>
      <w:r w:rsidR="00F60C23" w:rsidRPr="00C364C3">
        <w:rPr>
          <w:rFonts w:asciiTheme="majorHAnsi" w:hAnsiTheme="majorHAnsi"/>
          <w:sz w:val="20"/>
          <w:szCs w:val="20"/>
          <w:lang w:val="es-UY"/>
        </w:rPr>
        <w:t xml:space="preserve">Además, conforme a los estándares citados en materia de favorabilidad, la Comisión destaca que ante la vigencia de dos normas, el artículo 9 de la Convención exigía que la autoridad disciplinaria aplicara la más favorable que, en este caso, era la Ley Orgánica del Poder Judicial que condicionaba la destitución a la existencia de una suspensión previa. </w:t>
      </w:r>
      <w:r w:rsidR="00DA1783" w:rsidRPr="00C364C3">
        <w:rPr>
          <w:rFonts w:asciiTheme="majorHAnsi" w:hAnsiTheme="majorHAnsi"/>
          <w:sz w:val="20"/>
          <w:szCs w:val="20"/>
          <w:lang w:val="es-UY"/>
        </w:rPr>
        <w:t>Al contrario, el ente disciplinario opt</w:t>
      </w:r>
      <w:r w:rsidR="00FB0E93" w:rsidRPr="00C364C3">
        <w:rPr>
          <w:rFonts w:asciiTheme="majorHAnsi" w:hAnsiTheme="majorHAnsi"/>
          <w:sz w:val="20"/>
          <w:szCs w:val="20"/>
          <w:lang w:val="es-UY"/>
        </w:rPr>
        <w:t>ó por aplicar la norma más desfavorable.</w:t>
      </w:r>
    </w:p>
    <w:p w14:paraId="632409A4" w14:textId="6D839D65" w:rsidR="00FD6FB3" w:rsidRPr="003106BE" w:rsidRDefault="00FD6FB3" w:rsidP="0097518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UY"/>
        </w:rPr>
      </w:pPr>
      <w:r w:rsidRPr="003106BE">
        <w:rPr>
          <w:rFonts w:asciiTheme="majorHAnsi" w:hAnsiTheme="majorHAnsi"/>
          <w:sz w:val="20"/>
          <w:szCs w:val="20"/>
          <w:lang w:val="es-UY"/>
        </w:rPr>
        <w:t xml:space="preserve">En tercer lugar, la Comisión observa que la causal aplicada al señor Cordero Bernal </w:t>
      </w:r>
      <w:r w:rsidR="003E292D" w:rsidRPr="003106BE">
        <w:rPr>
          <w:rFonts w:asciiTheme="majorHAnsi" w:hAnsiTheme="majorHAnsi"/>
          <w:sz w:val="20"/>
          <w:szCs w:val="20"/>
          <w:lang w:val="es-UY"/>
        </w:rPr>
        <w:t xml:space="preserve">se refería a </w:t>
      </w:r>
      <w:r w:rsidR="003E292D" w:rsidRPr="003106BE">
        <w:rPr>
          <w:rFonts w:asciiTheme="majorHAnsi" w:hAnsiTheme="majorHAnsi" w:cs="Verdana"/>
          <w:sz w:val="20"/>
          <w:szCs w:val="20"/>
          <w:lang w:val="es-UY"/>
        </w:rPr>
        <w:t>un hecho grave que “sin ser delito” compromete la dignidad del cargo y la desmerezca en el concepto público. Al respecto, la Comisión observa que el señor Cordero Bernal estuvo sometido a proceso penal</w:t>
      </w:r>
      <w:r w:rsidR="000C2652" w:rsidRPr="003106BE">
        <w:rPr>
          <w:rFonts w:asciiTheme="majorHAnsi" w:hAnsiTheme="majorHAnsi" w:cs="Verdana"/>
          <w:sz w:val="20"/>
          <w:szCs w:val="20"/>
          <w:lang w:val="es-UY"/>
        </w:rPr>
        <w:t xml:space="preserve"> por aproximadamente ocho años</w:t>
      </w:r>
      <w:r w:rsidR="003E292D" w:rsidRPr="003106BE">
        <w:rPr>
          <w:rFonts w:asciiTheme="majorHAnsi" w:hAnsiTheme="majorHAnsi" w:cs="Verdana"/>
          <w:sz w:val="20"/>
          <w:szCs w:val="20"/>
          <w:lang w:val="es-UY"/>
        </w:rPr>
        <w:t xml:space="preserve"> con base en la misma plataforma fáctica que sustentó el procedimiento disciplinario.  </w:t>
      </w:r>
      <w:r w:rsidR="00742AFA" w:rsidRPr="003106BE">
        <w:rPr>
          <w:rFonts w:asciiTheme="majorHAnsi" w:hAnsiTheme="majorHAnsi" w:cs="Verdana"/>
          <w:sz w:val="20"/>
          <w:szCs w:val="20"/>
          <w:lang w:val="es-UY"/>
        </w:rPr>
        <w:t xml:space="preserve">Si bien </w:t>
      </w:r>
      <w:r w:rsidR="00742AFA" w:rsidRPr="003106BE">
        <w:rPr>
          <w:rFonts w:asciiTheme="majorHAnsi" w:hAnsiTheme="majorHAnsi"/>
          <w:sz w:val="20"/>
          <w:szCs w:val="20"/>
          <w:lang w:val="es-UY"/>
        </w:rPr>
        <w:t>el</w:t>
      </w:r>
      <w:r w:rsidR="00742AFA" w:rsidRPr="003106BE">
        <w:rPr>
          <w:rFonts w:asciiTheme="majorHAnsi" w:hAnsiTheme="majorHAnsi" w:cs="Verdana"/>
          <w:sz w:val="20"/>
          <w:szCs w:val="20"/>
          <w:lang w:val="es-UY"/>
        </w:rPr>
        <w:t xml:space="preserve"> objeto de esta petición no se relaciona con el proceso penal, sino con el disciplinario, la Comisión considera que el hecho de que hubiera sido sancionado con base en una causal disciplinaria que indicaba que el hecho no constituyera delito, cuando de manera paralela se estaba adelantando un proceso penal por el mismo hecho, resulta también incompatible con el principio de legalidad. </w:t>
      </w:r>
    </w:p>
    <w:p w14:paraId="23F42B2B" w14:textId="77777777" w:rsidR="00B93840" w:rsidRPr="003E292D" w:rsidRDefault="00B93840" w:rsidP="00975184">
      <w:pPr>
        <w:pStyle w:val="ListParagraph"/>
        <w:rPr>
          <w:rFonts w:asciiTheme="majorHAnsi" w:hAnsiTheme="majorHAnsi"/>
          <w:sz w:val="20"/>
          <w:szCs w:val="20"/>
          <w:lang w:val="es-UY"/>
        </w:rPr>
      </w:pPr>
    </w:p>
    <w:p w14:paraId="5FD1B865" w14:textId="0051ECF5" w:rsidR="00A321D3" w:rsidRPr="009B0F26" w:rsidRDefault="00B63565" w:rsidP="0097518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UY"/>
        </w:rPr>
      </w:pPr>
      <w:r>
        <w:rPr>
          <w:rFonts w:asciiTheme="majorHAnsi" w:hAnsiTheme="majorHAnsi"/>
          <w:sz w:val="20"/>
          <w:szCs w:val="20"/>
          <w:lang w:val="es-VE"/>
        </w:rPr>
        <w:t xml:space="preserve">En virtud de las anteriores consideraciones, </w:t>
      </w:r>
      <w:r w:rsidR="00A321D3" w:rsidRPr="00B93840">
        <w:rPr>
          <w:rFonts w:asciiTheme="majorHAnsi" w:hAnsiTheme="majorHAnsi"/>
          <w:sz w:val="20"/>
          <w:szCs w:val="20"/>
          <w:lang w:val="es-VE"/>
        </w:rPr>
        <w:t xml:space="preserve">la CIDH </w:t>
      </w:r>
      <w:r>
        <w:rPr>
          <w:rFonts w:asciiTheme="majorHAnsi" w:hAnsiTheme="majorHAnsi"/>
          <w:sz w:val="20"/>
          <w:szCs w:val="20"/>
          <w:lang w:val="es-VE"/>
        </w:rPr>
        <w:t xml:space="preserve">concluye </w:t>
      </w:r>
      <w:r w:rsidR="00A321D3" w:rsidRPr="00B93840">
        <w:rPr>
          <w:rFonts w:asciiTheme="majorHAnsi" w:hAnsiTheme="majorHAnsi"/>
          <w:sz w:val="20"/>
          <w:szCs w:val="20"/>
          <w:lang w:val="es-VE"/>
        </w:rPr>
        <w:t xml:space="preserve">que el Estado peruano violó el artículo 9 de </w:t>
      </w:r>
      <w:r w:rsidR="00A321D3" w:rsidRPr="008D7A7E">
        <w:rPr>
          <w:rFonts w:asciiTheme="majorHAnsi" w:hAnsiTheme="majorHAnsi"/>
          <w:sz w:val="20"/>
          <w:szCs w:val="20"/>
          <w:lang w:val="es-VE"/>
        </w:rPr>
        <w:t xml:space="preserve">la </w:t>
      </w:r>
      <w:r w:rsidR="00A321D3" w:rsidRPr="008D7A7E">
        <w:rPr>
          <w:rFonts w:asciiTheme="majorHAnsi" w:hAnsiTheme="majorHAnsi"/>
          <w:sz w:val="20"/>
          <w:szCs w:val="20"/>
          <w:lang w:val="es-UY"/>
        </w:rPr>
        <w:t>Convención</w:t>
      </w:r>
      <w:r w:rsidR="00A321D3" w:rsidRPr="008D7A7E">
        <w:rPr>
          <w:rFonts w:asciiTheme="majorHAnsi" w:hAnsiTheme="majorHAnsi"/>
          <w:sz w:val="20"/>
          <w:szCs w:val="20"/>
          <w:lang w:val="es-VE"/>
        </w:rPr>
        <w:t xml:space="preserve"> Americana</w:t>
      </w:r>
      <w:r w:rsidR="00A321D3" w:rsidRPr="00B93840">
        <w:rPr>
          <w:rFonts w:asciiTheme="majorHAnsi" w:hAnsiTheme="majorHAnsi"/>
          <w:sz w:val="20"/>
          <w:szCs w:val="20"/>
          <w:lang w:val="es-VE"/>
        </w:rPr>
        <w:t xml:space="preserve"> en relación con los artículos 1.1 y 2 del mismo instrumento en perjuicio de Héctor Fidel Cordero Bernal.</w:t>
      </w:r>
    </w:p>
    <w:p w14:paraId="349925E7" w14:textId="77777777" w:rsidR="009B0F26" w:rsidRDefault="009B0F26" w:rsidP="00975184">
      <w:pPr>
        <w:pStyle w:val="ListParagraph"/>
        <w:rPr>
          <w:rFonts w:asciiTheme="majorHAnsi" w:hAnsiTheme="majorHAnsi"/>
          <w:sz w:val="20"/>
          <w:szCs w:val="20"/>
          <w:lang w:val="es-UY"/>
        </w:rPr>
      </w:pPr>
    </w:p>
    <w:p w14:paraId="724FD619" w14:textId="061A5A32" w:rsidR="009B0F26" w:rsidRPr="003106BE" w:rsidRDefault="00DC2392" w:rsidP="00975184">
      <w:pPr>
        <w:pStyle w:val="Heading3"/>
        <w:keepLines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810"/>
        <w:jc w:val="both"/>
        <w:rPr>
          <w:color w:val="auto"/>
          <w:sz w:val="20"/>
          <w:szCs w:val="20"/>
          <w:lang w:val="es-ES"/>
        </w:rPr>
      </w:pPr>
      <w:bookmarkStart w:id="40" w:name="_Toc514247650"/>
      <w:r w:rsidRPr="003106BE">
        <w:rPr>
          <w:color w:val="auto"/>
          <w:sz w:val="20"/>
          <w:szCs w:val="20"/>
          <w:lang w:val="es-ES"/>
        </w:rPr>
        <w:t xml:space="preserve">El principio de </w:t>
      </w:r>
      <w:r w:rsidR="009B0F26" w:rsidRPr="003106BE">
        <w:rPr>
          <w:color w:val="auto"/>
          <w:sz w:val="20"/>
          <w:szCs w:val="20"/>
          <w:lang w:val="es-ES"/>
        </w:rPr>
        <w:t>independencia judicial y el derecho a contar con decisiones debidamente motivadas</w:t>
      </w:r>
      <w:r w:rsidR="00680983" w:rsidRPr="003106BE">
        <w:rPr>
          <w:rStyle w:val="FootnoteReference"/>
          <w:rFonts w:asciiTheme="majorHAnsi" w:hAnsiTheme="majorHAnsi"/>
          <w:color w:val="auto"/>
          <w:sz w:val="20"/>
          <w:szCs w:val="20"/>
          <w:lang w:val="es-ES"/>
        </w:rPr>
        <w:footnoteReference w:id="105"/>
      </w:r>
      <w:bookmarkEnd w:id="40"/>
      <w:r w:rsidR="009B0F26" w:rsidRPr="003106BE">
        <w:rPr>
          <w:color w:val="auto"/>
          <w:sz w:val="20"/>
          <w:szCs w:val="20"/>
          <w:lang w:val="es-ES"/>
        </w:rPr>
        <w:t xml:space="preserve"> </w:t>
      </w:r>
    </w:p>
    <w:p w14:paraId="600ED89F" w14:textId="77777777" w:rsidR="009B0F26" w:rsidRPr="003106BE" w:rsidRDefault="009B0F26" w:rsidP="0097518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rPr>
      </w:pPr>
    </w:p>
    <w:p w14:paraId="379B8343" w14:textId="77777777" w:rsidR="00207A63" w:rsidRPr="003106BE" w:rsidRDefault="008D63DA" w:rsidP="0097518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lang w:val="es-UY"/>
        </w:rPr>
      </w:pPr>
      <w:r w:rsidRPr="003106BE">
        <w:rPr>
          <w:rFonts w:ascii="Cambria" w:hAnsi="Cambria" w:cs="Verdana"/>
          <w:sz w:val="20"/>
          <w:szCs w:val="20"/>
          <w:lang w:val="es-UY"/>
        </w:rPr>
        <w:t>En cuanto al deber de motivación, la jurisprudencia del sistema interamericano ha indicado que se traduce en la “justificación razonada” que permite al juzgador llegar a una conclusión</w:t>
      </w:r>
      <w:r w:rsidRPr="003106BE">
        <w:rPr>
          <w:rStyle w:val="FootnoteReference"/>
          <w:rFonts w:ascii="Cambria" w:hAnsi="Cambria" w:cs="Verdana"/>
          <w:sz w:val="20"/>
          <w:szCs w:val="20"/>
          <w:lang w:val="es-UY"/>
        </w:rPr>
        <w:footnoteReference w:id="106"/>
      </w:r>
      <w:r w:rsidRPr="003106BE">
        <w:rPr>
          <w:rFonts w:ascii="Cambria" w:hAnsi="Cambria" w:cs="Verdana"/>
          <w:sz w:val="20"/>
          <w:szCs w:val="20"/>
          <w:lang w:val="es-UY"/>
        </w:rPr>
        <w:t>.</w:t>
      </w:r>
      <w:r w:rsidR="008600D6" w:rsidRPr="003106BE">
        <w:rPr>
          <w:rFonts w:ascii="Cambria" w:hAnsi="Cambria" w:cs="Verdana"/>
          <w:sz w:val="20"/>
          <w:szCs w:val="20"/>
          <w:lang w:val="es-UY"/>
        </w:rPr>
        <w:t xml:space="preserve"> L</w:t>
      </w:r>
      <w:r w:rsidR="008600D6" w:rsidRPr="003106BE" w:rsidDel="00044636">
        <w:rPr>
          <w:rFonts w:ascii="Cambria" w:hAnsi="Cambria"/>
          <w:sz w:val="20"/>
          <w:szCs w:val="20"/>
          <w:lang w:val="es-ES"/>
        </w:rPr>
        <w:t xml:space="preserve">a Corte ha indicado que </w:t>
      </w:r>
      <w:r w:rsidR="008600D6" w:rsidRPr="003106BE">
        <w:rPr>
          <w:rFonts w:ascii="Cambria" w:hAnsi="Cambria"/>
          <w:sz w:val="20"/>
          <w:szCs w:val="20"/>
          <w:lang w:val="es-AR"/>
        </w:rPr>
        <w:t xml:space="preserve"> “es una garantía vinculada con la correcta administración de justicia, que protege el derecho de los ciudadanos a ser juzgados por las razones que el Derecho suministra, y otorga credibilidad a las decisiones jurídicas en el marco de una sociedad democrática”</w:t>
      </w:r>
      <w:r w:rsidR="008600D6" w:rsidRPr="003106BE">
        <w:rPr>
          <w:rStyle w:val="FootnoteReference"/>
          <w:rFonts w:ascii="Cambria" w:hAnsi="Cambria"/>
          <w:sz w:val="20"/>
          <w:szCs w:val="20"/>
          <w:lang w:val="es-AR"/>
        </w:rPr>
        <w:footnoteReference w:id="107"/>
      </w:r>
      <w:r w:rsidR="008600D6" w:rsidRPr="003106BE">
        <w:rPr>
          <w:rFonts w:ascii="Cambria" w:hAnsi="Cambria"/>
          <w:sz w:val="20"/>
          <w:szCs w:val="20"/>
          <w:lang w:val="es-AR"/>
        </w:rPr>
        <w:t>.</w:t>
      </w:r>
      <w:r w:rsidR="008600D6" w:rsidRPr="003106BE">
        <w:rPr>
          <w:rFonts w:ascii="Cambria" w:hAnsi="Cambria"/>
          <w:sz w:val="20"/>
          <w:szCs w:val="20"/>
          <w:lang w:val="es-ES"/>
        </w:rPr>
        <w:t xml:space="preserve"> </w:t>
      </w:r>
      <w:r w:rsidR="008600D6" w:rsidRPr="003106BE">
        <w:rPr>
          <w:rFonts w:ascii="Cambria" w:hAnsi="Cambria"/>
          <w:sz w:val="20"/>
          <w:szCs w:val="20"/>
          <w:lang w:val="es-AR"/>
        </w:rPr>
        <w:t xml:space="preserve">Según la Corte Interamericana, las resoluciones de carácter administrativo disciplinario deben contener la indicación precisa de aquello que constituye una falta y el desarrollo de argumentos que permitan concluir que </w:t>
      </w:r>
      <w:r w:rsidR="003B5B67" w:rsidRPr="003106BE">
        <w:rPr>
          <w:rFonts w:ascii="Cambria" w:hAnsi="Cambria"/>
          <w:sz w:val="20"/>
          <w:szCs w:val="20"/>
          <w:lang w:val="es-AR"/>
        </w:rPr>
        <w:t xml:space="preserve">lo ocurrido </w:t>
      </w:r>
      <w:r w:rsidR="008600D6" w:rsidRPr="003106BE">
        <w:rPr>
          <w:rFonts w:ascii="Cambria" w:hAnsi="Cambria"/>
          <w:sz w:val="20"/>
          <w:szCs w:val="20"/>
          <w:lang w:val="es-AR"/>
        </w:rPr>
        <w:t xml:space="preserve">tiene la suficiente entidad para justificar que </w:t>
      </w:r>
      <w:r w:rsidR="008600D6" w:rsidRPr="003106BE">
        <w:rPr>
          <w:rFonts w:ascii="Cambria" w:hAnsi="Cambria" w:cs="Arial"/>
          <w:sz w:val="20"/>
          <w:szCs w:val="20"/>
          <w:lang w:val="es-AR"/>
        </w:rPr>
        <w:t xml:space="preserve">[un funcionario </w:t>
      </w:r>
      <w:r w:rsidR="008600D6" w:rsidRPr="003106BE">
        <w:rPr>
          <w:rFonts w:asciiTheme="majorHAnsi" w:hAnsiTheme="majorHAnsi"/>
          <w:sz w:val="20"/>
          <w:szCs w:val="20"/>
          <w:lang w:val="es-VE"/>
        </w:rPr>
        <w:t>estatal</w:t>
      </w:r>
      <w:r w:rsidR="008600D6" w:rsidRPr="003106BE">
        <w:rPr>
          <w:rFonts w:ascii="Cambria" w:hAnsi="Cambria" w:cs="Arial"/>
          <w:sz w:val="20"/>
          <w:szCs w:val="20"/>
          <w:lang w:val="es-AR"/>
        </w:rPr>
        <w:t xml:space="preserve">] </w:t>
      </w:r>
      <w:r w:rsidR="008600D6" w:rsidRPr="003106BE">
        <w:rPr>
          <w:rFonts w:ascii="Cambria" w:hAnsi="Cambria"/>
          <w:sz w:val="20"/>
          <w:szCs w:val="20"/>
          <w:lang w:val="es-AR"/>
        </w:rPr>
        <w:t>no permanezca en el cargo</w:t>
      </w:r>
      <w:r w:rsidR="008600D6" w:rsidRPr="003106BE">
        <w:rPr>
          <w:rStyle w:val="FootnoteReference"/>
          <w:rFonts w:ascii="Cambria" w:hAnsi="Cambria"/>
          <w:sz w:val="20"/>
          <w:szCs w:val="20"/>
          <w:lang w:val="es-AR"/>
        </w:rPr>
        <w:footnoteReference w:id="108"/>
      </w:r>
      <w:r w:rsidR="008600D6" w:rsidRPr="003106BE">
        <w:rPr>
          <w:rFonts w:ascii="Cambria" w:hAnsi="Cambria"/>
          <w:sz w:val="20"/>
          <w:szCs w:val="20"/>
          <w:lang w:val="es-AR"/>
        </w:rPr>
        <w:t>.</w:t>
      </w:r>
      <w:r w:rsidR="008600D6" w:rsidRPr="003106BE">
        <w:rPr>
          <w:rFonts w:ascii="Cambria" w:hAnsi="Cambria"/>
          <w:sz w:val="20"/>
          <w:szCs w:val="20"/>
          <w:lang w:val="es-ES"/>
        </w:rPr>
        <w:t xml:space="preserve"> Asimismo, l</w:t>
      </w:r>
      <w:r w:rsidR="008600D6" w:rsidRPr="003106BE">
        <w:rPr>
          <w:rFonts w:ascii="Cambria" w:hAnsi="Cambria" w:cs="Calibri"/>
          <w:sz w:val="20"/>
          <w:szCs w:val="20"/>
          <w:lang w:val="es-AR"/>
        </w:rPr>
        <w:t>a exigencia de un nivel adecuado de motivación es sumamente relevante ya que el control disciplinario tiene como objeto valorar la conducta, idoneidad y desempeño de un funcionario público y, por ende, es en la propia motivación donde corresponde analizar la gravedad de la conducta imputada y la proporcionalidad de la sanción</w:t>
      </w:r>
      <w:r w:rsidR="008600D6" w:rsidRPr="003106BE">
        <w:rPr>
          <w:rStyle w:val="FootnoteReference"/>
          <w:rFonts w:ascii="Cambria" w:hAnsi="Cambria" w:cs="Calibri"/>
          <w:sz w:val="20"/>
          <w:szCs w:val="20"/>
        </w:rPr>
        <w:footnoteReference w:id="109"/>
      </w:r>
      <w:r w:rsidR="008600D6" w:rsidRPr="003106BE">
        <w:rPr>
          <w:rFonts w:ascii="Cambria" w:hAnsi="Cambria" w:cs="Calibri"/>
          <w:sz w:val="20"/>
          <w:szCs w:val="20"/>
          <w:lang w:val="es-AR"/>
        </w:rPr>
        <w:t>.</w:t>
      </w:r>
    </w:p>
    <w:p w14:paraId="0C21DB80" w14:textId="77777777" w:rsidR="00207A63" w:rsidRPr="00621345" w:rsidRDefault="00207A63" w:rsidP="0097518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Cambria" w:hAnsi="Cambria" w:cs="Verdana"/>
          <w:sz w:val="20"/>
          <w:szCs w:val="20"/>
          <w:highlight w:val="cyan"/>
          <w:lang w:val="es-UY"/>
        </w:rPr>
      </w:pPr>
    </w:p>
    <w:p w14:paraId="406312B3" w14:textId="45EE0705" w:rsidR="007D018A" w:rsidRPr="003106BE" w:rsidRDefault="00272034" w:rsidP="0097518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lang w:val="es-UY"/>
        </w:rPr>
      </w:pPr>
      <w:r w:rsidRPr="003106BE">
        <w:rPr>
          <w:rFonts w:asciiTheme="majorHAnsi" w:hAnsiTheme="majorHAnsi"/>
          <w:sz w:val="20"/>
          <w:szCs w:val="20"/>
          <w:lang w:val="es-ES"/>
        </w:rPr>
        <w:t>A fin de evaluar el cumplimiento de esta garantía en el presente caso y tomando en cuenta que la sanción disciplinaria impuesta al señor Cordero Bernal tuvo como sustento la decisión de libertad incondicional emitida por él en su calidad de</w:t>
      </w:r>
      <w:r w:rsidR="00046CB9" w:rsidRPr="003106BE">
        <w:rPr>
          <w:rFonts w:asciiTheme="majorHAnsi" w:hAnsiTheme="majorHAnsi"/>
          <w:sz w:val="20"/>
          <w:szCs w:val="20"/>
          <w:lang w:val="es-ES"/>
        </w:rPr>
        <w:t xml:space="preserve"> juez penal de Huánuco</w:t>
      </w:r>
      <w:r w:rsidR="00244522" w:rsidRPr="003106BE">
        <w:rPr>
          <w:rFonts w:asciiTheme="majorHAnsi" w:hAnsiTheme="majorHAnsi"/>
          <w:sz w:val="20"/>
          <w:szCs w:val="20"/>
          <w:lang w:val="es-ES"/>
        </w:rPr>
        <w:t>, l</w:t>
      </w:r>
      <w:r w:rsidR="007D018A" w:rsidRPr="003106BE">
        <w:rPr>
          <w:rFonts w:asciiTheme="majorHAnsi" w:hAnsiTheme="majorHAnsi"/>
          <w:sz w:val="20"/>
          <w:szCs w:val="20"/>
          <w:lang w:val="es-ES"/>
        </w:rPr>
        <w:t xml:space="preserve">a Comisión </w:t>
      </w:r>
      <w:r w:rsidR="00244522" w:rsidRPr="003106BE">
        <w:rPr>
          <w:rFonts w:asciiTheme="majorHAnsi" w:hAnsiTheme="majorHAnsi"/>
          <w:sz w:val="20"/>
          <w:szCs w:val="20"/>
          <w:lang w:val="es-ES"/>
        </w:rPr>
        <w:t xml:space="preserve">considera pertinente traer a colación algunos estándares en materia de independencia judicial. </w:t>
      </w:r>
    </w:p>
    <w:p w14:paraId="511D0438" w14:textId="77777777" w:rsidR="00244522" w:rsidRPr="00621345" w:rsidRDefault="00244522" w:rsidP="00975184">
      <w:pPr>
        <w:pStyle w:val="ListParagraph"/>
        <w:rPr>
          <w:rFonts w:cs="Verdana"/>
          <w:sz w:val="20"/>
          <w:szCs w:val="20"/>
          <w:highlight w:val="cyan"/>
          <w:lang w:val="es-UY"/>
        </w:rPr>
      </w:pPr>
    </w:p>
    <w:p w14:paraId="2CBA117E" w14:textId="77777777" w:rsidR="00975184" w:rsidRPr="003106BE" w:rsidRDefault="004256D9" w:rsidP="0097518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Cambria" w:hAnsi="Cambria" w:cs="Verdana"/>
          <w:sz w:val="20"/>
          <w:szCs w:val="20"/>
          <w:lang w:val="es-UY"/>
        </w:rPr>
      </w:pPr>
      <w:r w:rsidRPr="003106BE">
        <w:rPr>
          <w:rFonts w:ascii="Cambria" w:hAnsi="Cambria" w:cs="Verdana"/>
          <w:sz w:val="20"/>
          <w:szCs w:val="20"/>
          <w:lang w:val="es-UY"/>
        </w:rPr>
        <w:t xml:space="preserve">En el caso </w:t>
      </w:r>
      <w:r w:rsidRPr="003106BE">
        <w:rPr>
          <w:rFonts w:ascii="Cambria" w:hAnsi="Cambria" w:cs="Verdana"/>
          <w:i/>
          <w:sz w:val="20"/>
          <w:szCs w:val="20"/>
          <w:lang w:val="es-UY"/>
        </w:rPr>
        <w:t>Apitz Barbera y otros vs. Venezuela</w:t>
      </w:r>
      <w:r w:rsidRPr="003106BE">
        <w:rPr>
          <w:rFonts w:ascii="Cambria" w:hAnsi="Cambria" w:cs="Verdana"/>
          <w:sz w:val="20"/>
          <w:szCs w:val="20"/>
          <w:lang w:val="es-UY"/>
        </w:rPr>
        <w:t>, la Corte indicó que “</w:t>
      </w:r>
      <w:r w:rsidR="006B2C25" w:rsidRPr="003106BE">
        <w:rPr>
          <w:rFonts w:asciiTheme="majorHAnsi" w:hAnsiTheme="majorHAnsi"/>
          <w:sz w:val="20"/>
          <w:szCs w:val="20"/>
          <w:lang w:val="es-CO"/>
        </w:rPr>
        <w:t>el derecho internacional ha formulado pautas sobre las razones válidas para proceder a la suspensión o remoción de un juez, las cuales pueden ser, entre otras, mala conducta o incompetencia</w:t>
      </w:r>
      <w:r w:rsidRPr="003106BE">
        <w:rPr>
          <w:rFonts w:asciiTheme="majorHAnsi" w:hAnsiTheme="majorHAnsi"/>
          <w:sz w:val="20"/>
          <w:szCs w:val="20"/>
          <w:lang w:val="es-CO"/>
        </w:rPr>
        <w:t>”</w:t>
      </w:r>
      <w:r w:rsidR="006B2C25" w:rsidRPr="003106BE">
        <w:rPr>
          <w:rStyle w:val="FootnoteReference"/>
          <w:rFonts w:asciiTheme="majorHAnsi" w:hAnsiTheme="majorHAnsi"/>
          <w:sz w:val="20"/>
          <w:szCs w:val="20"/>
        </w:rPr>
        <w:footnoteReference w:id="110"/>
      </w:r>
      <w:r w:rsidR="006B2C25" w:rsidRPr="003106BE">
        <w:rPr>
          <w:rFonts w:asciiTheme="majorHAnsi" w:hAnsiTheme="majorHAnsi"/>
          <w:sz w:val="20"/>
          <w:szCs w:val="20"/>
          <w:lang w:val="es-CO"/>
        </w:rPr>
        <w:t xml:space="preserve">. </w:t>
      </w:r>
      <w:r w:rsidR="00975184" w:rsidRPr="003106BE">
        <w:rPr>
          <w:rFonts w:asciiTheme="majorHAnsi" w:hAnsiTheme="majorHAnsi"/>
          <w:sz w:val="20"/>
          <w:szCs w:val="20"/>
          <w:lang w:val="es-CO"/>
        </w:rPr>
        <w:t xml:space="preserve">Específicamente, indicó que: </w:t>
      </w:r>
    </w:p>
    <w:p w14:paraId="535FEB41" w14:textId="77777777" w:rsidR="00975184" w:rsidRPr="00621345" w:rsidRDefault="00975184" w:rsidP="00975184">
      <w:pPr>
        <w:pStyle w:val="ListParagraph"/>
        <w:rPr>
          <w:rFonts w:asciiTheme="majorHAnsi" w:hAnsiTheme="majorHAnsi"/>
          <w:sz w:val="20"/>
          <w:szCs w:val="20"/>
          <w:highlight w:val="cyan"/>
          <w:lang w:val="es-CO"/>
        </w:rPr>
      </w:pPr>
    </w:p>
    <w:p w14:paraId="0F0A3C01" w14:textId="09A2CE4A" w:rsidR="0008004B" w:rsidRPr="003106BE" w:rsidRDefault="00975184" w:rsidP="0008004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630"/>
        <w:jc w:val="both"/>
        <w:rPr>
          <w:rFonts w:asciiTheme="majorHAnsi" w:hAnsiTheme="majorHAnsi"/>
          <w:sz w:val="20"/>
          <w:szCs w:val="20"/>
          <w:lang w:val="es-CO"/>
        </w:rPr>
      </w:pPr>
      <w:r w:rsidRPr="003106BE">
        <w:rPr>
          <w:rFonts w:asciiTheme="majorHAnsi" w:hAnsiTheme="majorHAnsi"/>
          <w:sz w:val="20"/>
          <w:szCs w:val="20"/>
          <w:lang w:val="es-CO"/>
        </w:rPr>
        <w:t xml:space="preserve">(…) </w:t>
      </w:r>
      <w:r w:rsidR="006B2C25" w:rsidRPr="003106BE">
        <w:rPr>
          <w:rFonts w:asciiTheme="majorHAnsi" w:hAnsiTheme="majorHAnsi"/>
          <w:sz w:val="20"/>
          <w:szCs w:val="20"/>
          <w:lang w:val="es-CO"/>
        </w:rPr>
        <w:t>los jueces no pueden ser destituidos únicamente debido a que su decisión fue revocada mediante una apelación o revisión de un órgano judicial superior. Ello preserva la independencia interna de los jueces, quienes no deben verse compelidos a evitar disentir con el órgano revisor de sus decisiones, el cual, en definitiva, sólo ejerce una función judicial diferenciada y limitada a atender los puntos recursivos de las partes disconformes con el fallo originario</w:t>
      </w:r>
      <w:r w:rsidR="00B603F1" w:rsidRPr="003106BE">
        <w:rPr>
          <w:rStyle w:val="FootnoteReference"/>
          <w:rFonts w:asciiTheme="majorHAnsi" w:hAnsiTheme="majorHAnsi"/>
          <w:sz w:val="20"/>
          <w:szCs w:val="20"/>
        </w:rPr>
        <w:footnoteReference w:id="111"/>
      </w:r>
      <w:r w:rsidR="006B2C25" w:rsidRPr="003106BE">
        <w:rPr>
          <w:rFonts w:asciiTheme="majorHAnsi" w:hAnsiTheme="majorHAnsi"/>
          <w:sz w:val="20"/>
          <w:szCs w:val="20"/>
          <w:lang w:val="es-CO"/>
        </w:rPr>
        <w:t>.</w:t>
      </w:r>
    </w:p>
    <w:p w14:paraId="76E4ABFA" w14:textId="77777777" w:rsidR="0008004B" w:rsidRPr="00AA6A40" w:rsidRDefault="0008004B" w:rsidP="0008004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630"/>
        <w:jc w:val="both"/>
        <w:rPr>
          <w:rFonts w:asciiTheme="majorHAnsi" w:hAnsiTheme="majorHAnsi"/>
          <w:sz w:val="20"/>
          <w:szCs w:val="20"/>
          <w:highlight w:val="cyan"/>
          <w:lang w:val="es-CO"/>
        </w:rPr>
      </w:pPr>
    </w:p>
    <w:p w14:paraId="393A6440" w14:textId="7962D2AF" w:rsidR="006B2C25" w:rsidRPr="003106BE" w:rsidRDefault="0008004B" w:rsidP="0008004B">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720" w:right="630"/>
        <w:jc w:val="both"/>
        <w:rPr>
          <w:rFonts w:asciiTheme="majorHAnsi" w:hAnsiTheme="majorHAnsi" w:cs="Arial"/>
          <w:bCs/>
          <w:iCs/>
          <w:sz w:val="20"/>
          <w:szCs w:val="20"/>
          <w:lang w:val="es-CO"/>
        </w:rPr>
      </w:pPr>
      <w:r w:rsidRPr="003106BE">
        <w:rPr>
          <w:rFonts w:asciiTheme="majorHAnsi" w:hAnsiTheme="majorHAnsi"/>
          <w:sz w:val="20"/>
          <w:szCs w:val="20"/>
          <w:lang w:val="es-CO"/>
        </w:rPr>
        <w:t xml:space="preserve">(…) </w:t>
      </w:r>
      <w:r w:rsidR="006B2C25" w:rsidRPr="003106BE">
        <w:rPr>
          <w:rFonts w:asciiTheme="majorHAnsi" w:hAnsiTheme="majorHAnsi" w:cs="Arial"/>
          <w:bCs/>
          <w:iCs/>
          <w:sz w:val="20"/>
          <w:szCs w:val="20"/>
          <w:lang w:val="es-CO"/>
        </w:rPr>
        <w:t xml:space="preserve">para el derecho internacional por un lado se encuentran los recursos de apelación, casación, revisión, avocación o similares, cuyo fin es controlar la corrección de las decisiones del juez inferior; y por otro, el control disciplinario, que tiene como objeto valorar la conducta, idoneidad y desempeño del juez como funcionario público. </w:t>
      </w:r>
      <w:r w:rsidRPr="003106BE">
        <w:rPr>
          <w:rFonts w:asciiTheme="majorHAnsi" w:hAnsiTheme="majorHAnsi" w:cs="Arial"/>
          <w:bCs/>
          <w:iCs/>
          <w:sz w:val="20"/>
          <w:szCs w:val="20"/>
          <w:lang w:val="es-CO"/>
        </w:rPr>
        <w:t xml:space="preserve">(…) </w:t>
      </w:r>
      <w:r w:rsidR="006B2C25" w:rsidRPr="003106BE">
        <w:rPr>
          <w:rFonts w:asciiTheme="majorHAnsi" w:hAnsiTheme="majorHAnsi" w:cs="Arial"/>
          <w:bCs/>
          <w:iCs/>
          <w:sz w:val="20"/>
          <w:szCs w:val="20"/>
          <w:lang w:val="es-CO"/>
        </w:rPr>
        <w:t>Este tipo de revisión exige una motivación autónoma para determinar la existencia de una falta disciplinaria</w:t>
      </w:r>
      <w:r w:rsidR="005C0452" w:rsidRPr="003106BE">
        <w:rPr>
          <w:rStyle w:val="FootnoteReference"/>
          <w:rFonts w:asciiTheme="majorHAnsi" w:hAnsiTheme="majorHAnsi"/>
          <w:sz w:val="20"/>
          <w:szCs w:val="20"/>
        </w:rPr>
        <w:footnoteReference w:id="112"/>
      </w:r>
      <w:r w:rsidR="006B2C25" w:rsidRPr="003106BE">
        <w:rPr>
          <w:rFonts w:asciiTheme="majorHAnsi" w:hAnsiTheme="majorHAnsi" w:cs="Arial"/>
          <w:bCs/>
          <w:iCs/>
          <w:sz w:val="20"/>
          <w:szCs w:val="20"/>
          <w:lang w:val="es-CO"/>
        </w:rPr>
        <w:t>.</w:t>
      </w:r>
    </w:p>
    <w:p w14:paraId="33D142A2" w14:textId="77777777" w:rsidR="007D018A" w:rsidRPr="00AA6A40" w:rsidRDefault="007D018A" w:rsidP="0097518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highlight w:val="cyan"/>
          <w:lang w:val="es-ES"/>
        </w:rPr>
      </w:pPr>
    </w:p>
    <w:p w14:paraId="086227E5" w14:textId="77777777" w:rsidR="00AD3EB0" w:rsidRPr="003106BE" w:rsidRDefault="00621345" w:rsidP="00AA6A40">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
        </w:rPr>
      </w:pPr>
      <w:r w:rsidRPr="003106BE">
        <w:rPr>
          <w:rFonts w:asciiTheme="majorHAnsi" w:hAnsiTheme="majorHAnsi"/>
          <w:sz w:val="20"/>
          <w:szCs w:val="20"/>
          <w:lang w:val="es-ES"/>
        </w:rPr>
        <w:t xml:space="preserve">En el presente caso, </w:t>
      </w:r>
      <w:r w:rsidRPr="003106BE">
        <w:rPr>
          <w:rFonts w:ascii="Cambria" w:hAnsi="Cambria" w:cs="Verdana"/>
          <w:sz w:val="20"/>
          <w:szCs w:val="20"/>
          <w:lang w:val="es-UY"/>
        </w:rPr>
        <w:t>la</w:t>
      </w:r>
      <w:r w:rsidRPr="003106BE">
        <w:rPr>
          <w:rFonts w:asciiTheme="majorHAnsi" w:hAnsiTheme="majorHAnsi"/>
          <w:sz w:val="20"/>
          <w:szCs w:val="20"/>
          <w:lang w:val="es-ES"/>
        </w:rPr>
        <w:t xml:space="preserve"> Comisión destaca que </w:t>
      </w:r>
      <w:r w:rsidR="004B3C26" w:rsidRPr="003106BE">
        <w:rPr>
          <w:rFonts w:asciiTheme="majorHAnsi" w:hAnsiTheme="majorHAnsi"/>
          <w:sz w:val="20"/>
          <w:szCs w:val="20"/>
          <w:lang w:val="es-ES"/>
        </w:rPr>
        <w:t>esta salvaguarda a la independencia judicial estaba prevista en la propia legislación interna, específicamente en el artículo 212 de la Ley Orgá</w:t>
      </w:r>
      <w:r w:rsidR="009633DE" w:rsidRPr="003106BE">
        <w:rPr>
          <w:rFonts w:asciiTheme="majorHAnsi" w:hAnsiTheme="majorHAnsi"/>
          <w:sz w:val="20"/>
          <w:szCs w:val="20"/>
          <w:lang w:val="es-ES"/>
        </w:rPr>
        <w:t>nica del Poder Judicial que señalaba que “no da lugar a sanción la discrepancia de opinión en la resolución de los procesos”.</w:t>
      </w:r>
      <w:r w:rsidR="00AD3EB0" w:rsidRPr="003106BE">
        <w:rPr>
          <w:rFonts w:asciiTheme="majorHAnsi" w:hAnsiTheme="majorHAnsi"/>
          <w:sz w:val="20"/>
          <w:szCs w:val="20"/>
          <w:lang w:val="es-ES"/>
        </w:rPr>
        <w:t xml:space="preserve"> Esta es una garantía fundamental de la independencia judicial que busca precisamente evitar que los jueces y juezas sean sancionados por el contenido de las decisiones que adoptan, sin que esto implique que no es posible separar a un operador judicial de su cargo por falta de idoneidad y competencia. </w:t>
      </w:r>
    </w:p>
    <w:p w14:paraId="1A276AE0" w14:textId="77777777" w:rsidR="00AD3EB0" w:rsidRPr="00AA6A40" w:rsidRDefault="00AD3EB0" w:rsidP="0097518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highlight w:val="cyan"/>
          <w:lang w:val="es-ES"/>
        </w:rPr>
      </w:pPr>
    </w:p>
    <w:p w14:paraId="3BCAD96D" w14:textId="786AFFD4" w:rsidR="00426E7B" w:rsidRPr="003106BE" w:rsidRDefault="002473A9" w:rsidP="00AA6A40">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
        </w:rPr>
      </w:pPr>
      <w:r w:rsidRPr="003106BE">
        <w:rPr>
          <w:rFonts w:asciiTheme="majorHAnsi" w:hAnsiTheme="majorHAnsi"/>
          <w:sz w:val="20"/>
          <w:szCs w:val="20"/>
          <w:lang w:val="es-ES" w:eastAsia="ko-KR"/>
        </w:rPr>
        <w:t>En ese sentido, no corresponde a la CIDH determinar si la libertad incondicional dispuesta por el señor Cordero Bernal tenía sustento o no en el derecho interno</w:t>
      </w:r>
      <w:r w:rsidR="008A45A4" w:rsidRPr="003106BE">
        <w:rPr>
          <w:rFonts w:asciiTheme="majorHAnsi" w:hAnsiTheme="majorHAnsi"/>
          <w:sz w:val="20"/>
          <w:szCs w:val="20"/>
          <w:lang w:val="es-ES" w:eastAsia="ko-KR"/>
        </w:rPr>
        <w:t>, ni si la presunta víctima era competente e idóneo para el ejercicio de la función judicial.</w:t>
      </w:r>
      <w:r w:rsidRPr="003106BE">
        <w:rPr>
          <w:rFonts w:asciiTheme="majorHAnsi" w:hAnsiTheme="majorHAnsi"/>
          <w:sz w:val="20"/>
          <w:szCs w:val="20"/>
          <w:lang w:val="es-ES"/>
        </w:rPr>
        <w:t xml:space="preserve"> Sin embargo, </w:t>
      </w:r>
      <w:r w:rsidR="0085508C" w:rsidRPr="003106BE">
        <w:rPr>
          <w:rFonts w:asciiTheme="majorHAnsi" w:hAnsiTheme="majorHAnsi"/>
          <w:sz w:val="20"/>
          <w:szCs w:val="20"/>
          <w:lang w:val="es-ES"/>
        </w:rPr>
        <w:t>c</w:t>
      </w:r>
      <w:r w:rsidR="008F1237" w:rsidRPr="003106BE">
        <w:rPr>
          <w:rFonts w:asciiTheme="majorHAnsi" w:hAnsiTheme="majorHAnsi"/>
          <w:sz w:val="20"/>
          <w:szCs w:val="20"/>
          <w:lang w:val="es-ES"/>
        </w:rPr>
        <w:t>onforme a los est</w:t>
      </w:r>
      <w:r w:rsidR="00E3633E" w:rsidRPr="003106BE">
        <w:rPr>
          <w:rFonts w:asciiTheme="majorHAnsi" w:hAnsiTheme="majorHAnsi"/>
          <w:sz w:val="20"/>
          <w:szCs w:val="20"/>
          <w:lang w:val="es-ES"/>
        </w:rPr>
        <w:t>ándares citados en materia de independencia judicial</w:t>
      </w:r>
      <w:r w:rsidR="0085508C" w:rsidRPr="003106BE">
        <w:rPr>
          <w:rFonts w:asciiTheme="majorHAnsi" w:hAnsiTheme="majorHAnsi"/>
          <w:sz w:val="20"/>
          <w:szCs w:val="20"/>
          <w:lang w:val="es-ES"/>
        </w:rPr>
        <w:t xml:space="preserve"> y la propia normativa interna,</w:t>
      </w:r>
      <w:r w:rsidR="00E3633E" w:rsidRPr="003106BE">
        <w:rPr>
          <w:rFonts w:asciiTheme="majorHAnsi" w:hAnsiTheme="majorHAnsi"/>
          <w:sz w:val="20"/>
          <w:szCs w:val="20"/>
          <w:lang w:val="es-ES"/>
        </w:rPr>
        <w:t xml:space="preserve"> en un caso como el presente, era obligación de la autoridad disciplinaria ofrecer una motivación que de manera clara </w:t>
      </w:r>
      <w:r w:rsidR="0085508C" w:rsidRPr="003106BE">
        <w:rPr>
          <w:rFonts w:asciiTheme="majorHAnsi" w:hAnsiTheme="majorHAnsi"/>
          <w:sz w:val="20"/>
          <w:szCs w:val="20"/>
          <w:lang w:val="es-ES"/>
        </w:rPr>
        <w:t>esta</w:t>
      </w:r>
      <w:r w:rsidR="00D8598F" w:rsidRPr="003106BE">
        <w:rPr>
          <w:rFonts w:asciiTheme="majorHAnsi" w:hAnsiTheme="majorHAnsi"/>
          <w:sz w:val="20"/>
          <w:szCs w:val="20"/>
          <w:lang w:val="es-ES"/>
        </w:rPr>
        <w:t>bleciera las razones por las cuales la decisión emitida por el señor Cordero Bernal, más allá de haber sido corregida mediante los recursos disponibles en la legislación, requería de un control disciplinario por denotar su falta de co</w:t>
      </w:r>
      <w:r w:rsidR="009317E2" w:rsidRPr="003106BE">
        <w:rPr>
          <w:rFonts w:asciiTheme="majorHAnsi" w:hAnsiTheme="majorHAnsi"/>
          <w:sz w:val="20"/>
          <w:szCs w:val="20"/>
          <w:lang w:val="es-ES"/>
        </w:rPr>
        <w:t xml:space="preserve">mpetencia e idoneidad como juez, al punto de ameritar la sanción más severa. </w:t>
      </w:r>
    </w:p>
    <w:p w14:paraId="6314666A" w14:textId="77777777" w:rsidR="00426E7B" w:rsidRPr="00AA6A40" w:rsidRDefault="00426E7B" w:rsidP="0097518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highlight w:val="cyan"/>
          <w:lang w:val="es-ES"/>
        </w:rPr>
      </w:pPr>
    </w:p>
    <w:p w14:paraId="3E66D987" w14:textId="77777777" w:rsidR="002473A9" w:rsidRPr="003106BE" w:rsidRDefault="00426E7B" w:rsidP="00AA6A40">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ES" w:eastAsia="ko-KR"/>
        </w:rPr>
      </w:pPr>
      <w:r w:rsidRPr="003106BE">
        <w:rPr>
          <w:rFonts w:asciiTheme="majorHAnsi" w:hAnsiTheme="majorHAnsi"/>
          <w:sz w:val="20"/>
          <w:szCs w:val="20"/>
          <w:lang w:val="es-ES"/>
        </w:rPr>
        <w:t xml:space="preserve">Al respecto, la Comisión observa que el fallo sancionatorio no ofrece una motivación en ese sentido y se limita a indicar que la </w:t>
      </w:r>
      <w:r w:rsidRPr="003106BE">
        <w:rPr>
          <w:rFonts w:asciiTheme="majorHAnsi" w:hAnsiTheme="majorHAnsi"/>
          <w:sz w:val="20"/>
          <w:szCs w:val="20"/>
          <w:lang w:val="es-ES" w:eastAsia="ko-KR"/>
        </w:rPr>
        <w:t>decisión</w:t>
      </w:r>
      <w:r w:rsidRPr="003106BE">
        <w:rPr>
          <w:rFonts w:asciiTheme="majorHAnsi" w:hAnsiTheme="majorHAnsi"/>
          <w:sz w:val="20"/>
          <w:szCs w:val="20"/>
          <w:lang w:val="es-ES"/>
        </w:rPr>
        <w:t xml:space="preserve"> emitida por el señor Cordero Bernal careció de toda racionalidad y sentido comú</w:t>
      </w:r>
      <w:r w:rsidR="009317E2" w:rsidRPr="003106BE">
        <w:rPr>
          <w:rFonts w:asciiTheme="majorHAnsi" w:hAnsiTheme="majorHAnsi"/>
          <w:sz w:val="20"/>
          <w:szCs w:val="20"/>
          <w:lang w:val="es-ES"/>
        </w:rPr>
        <w:t>n. La Comisión no deja de notar qu</w:t>
      </w:r>
      <w:r w:rsidR="00AD3EB0" w:rsidRPr="003106BE">
        <w:rPr>
          <w:rFonts w:asciiTheme="majorHAnsi" w:hAnsiTheme="majorHAnsi"/>
          <w:sz w:val="20"/>
          <w:szCs w:val="20"/>
          <w:lang w:val="es-ES"/>
        </w:rPr>
        <w:t>e en el marco del proceso penal, la decisión que quedó finalmente en firme indicó que el fallo emitido por el se</w:t>
      </w:r>
      <w:r w:rsidR="00AD3EB0" w:rsidRPr="003106BE">
        <w:rPr>
          <w:rFonts w:asciiTheme="majorHAnsi" w:hAnsiTheme="majorHAnsi"/>
          <w:sz w:val="20"/>
          <w:szCs w:val="20"/>
          <w:lang w:val="es-ES" w:eastAsia="ko-KR"/>
        </w:rPr>
        <w:t>ñor Cordero Bernal fue un acto netamente jurisdiccional y que constituyó u</w:t>
      </w:r>
      <w:r w:rsidR="002473A9" w:rsidRPr="003106BE">
        <w:rPr>
          <w:rFonts w:asciiTheme="majorHAnsi" w:hAnsiTheme="majorHAnsi"/>
          <w:sz w:val="20"/>
          <w:szCs w:val="20"/>
          <w:lang w:val="es-ES" w:eastAsia="ko-KR"/>
        </w:rPr>
        <w:t xml:space="preserve">n ejercicio regular del derecho. </w:t>
      </w:r>
    </w:p>
    <w:p w14:paraId="312F0B26" w14:textId="77777777" w:rsidR="002473A9" w:rsidRPr="003106BE" w:rsidRDefault="002473A9" w:rsidP="0097518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eastAsia="ko-KR"/>
        </w:rPr>
      </w:pPr>
    </w:p>
    <w:p w14:paraId="564FA644" w14:textId="60631360" w:rsidR="00F62A2A" w:rsidRPr="003106BE" w:rsidRDefault="002473A9" w:rsidP="00AA6A40">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sz w:val="20"/>
          <w:szCs w:val="20"/>
          <w:lang w:val="es-ES" w:eastAsia="ko-KR"/>
        </w:rPr>
      </w:pPr>
      <w:r w:rsidRPr="003106BE">
        <w:rPr>
          <w:rFonts w:asciiTheme="majorHAnsi" w:hAnsiTheme="majorHAnsi"/>
          <w:sz w:val="20"/>
          <w:szCs w:val="20"/>
          <w:lang w:val="es-ES" w:eastAsia="ko-KR"/>
        </w:rPr>
        <w:t xml:space="preserve">En virtud de las anteriores consideraciones, la Comisión concluye que el Estado peruano </w:t>
      </w:r>
      <w:r w:rsidR="00741FB7" w:rsidRPr="003106BE">
        <w:rPr>
          <w:rFonts w:asciiTheme="majorHAnsi" w:hAnsiTheme="majorHAnsi"/>
          <w:sz w:val="20"/>
          <w:szCs w:val="20"/>
          <w:lang w:val="es-ES" w:eastAsia="ko-KR"/>
        </w:rPr>
        <w:t xml:space="preserve">violó, en perjuicio de Héctor Fidel Cordero Bernal, </w:t>
      </w:r>
      <w:r w:rsidRPr="003106BE">
        <w:rPr>
          <w:rFonts w:asciiTheme="majorHAnsi" w:hAnsiTheme="majorHAnsi"/>
          <w:sz w:val="20"/>
          <w:szCs w:val="20"/>
          <w:lang w:val="es-ES" w:eastAsia="ko-KR"/>
        </w:rPr>
        <w:t>el derecho a contar con decisiones debidamente motivadas en relación con el principio a la independencia judicial, ambos previstos en el artículo 8.1 de la Convención Americana en relación con el artículo 1.1 del mismo instrumento.</w:t>
      </w:r>
    </w:p>
    <w:p w14:paraId="48AA6BCC" w14:textId="77777777" w:rsidR="00F62A2A" w:rsidRPr="006B2C25" w:rsidRDefault="00F62A2A" w:rsidP="0097518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ES"/>
        </w:rPr>
      </w:pPr>
    </w:p>
    <w:p w14:paraId="0B9BDA01" w14:textId="77777777" w:rsidR="00A321D3" w:rsidRPr="00A321D3" w:rsidRDefault="00A321D3" w:rsidP="00975184">
      <w:pPr>
        <w:pStyle w:val="Heading3"/>
        <w:keepLines w:val="0"/>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810"/>
        <w:jc w:val="both"/>
        <w:rPr>
          <w:color w:val="auto"/>
          <w:sz w:val="20"/>
          <w:szCs w:val="20"/>
          <w:lang w:val="es-VE"/>
        </w:rPr>
      </w:pPr>
      <w:bookmarkStart w:id="41" w:name="_Toc511052171"/>
      <w:bookmarkStart w:id="42" w:name="_Toc514247651"/>
      <w:r w:rsidRPr="006B2C25">
        <w:rPr>
          <w:color w:val="auto"/>
          <w:sz w:val="20"/>
          <w:szCs w:val="20"/>
          <w:lang w:val="es-CO"/>
        </w:rPr>
        <w:t>El derecho</w:t>
      </w:r>
      <w:r w:rsidRPr="006B2C25">
        <w:rPr>
          <w:color w:val="auto"/>
          <w:sz w:val="20"/>
          <w:szCs w:val="20"/>
          <w:lang w:val="es-VE"/>
        </w:rPr>
        <w:t xml:space="preserve"> a recurrir el fallo</w:t>
      </w:r>
      <w:r w:rsidRPr="006B2C25">
        <w:rPr>
          <w:color w:val="auto"/>
          <w:sz w:val="20"/>
          <w:szCs w:val="20"/>
          <w:vertAlign w:val="superscript"/>
        </w:rPr>
        <w:footnoteReference w:id="113"/>
      </w:r>
      <w:r w:rsidRPr="006B2C25">
        <w:rPr>
          <w:color w:val="auto"/>
          <w:sz w:val="20"/>
          <w:szCs w:val="20"/>
          <w:lang w:val="es-VE"/>
        </w:rPr>
        <w:t xml:space="preserve"> y el derecho a la protección</w:t>
      </w:r>
      <w:r w:rsidRPr="00A321D3">
        <w:rPr>
          <w:color w:val="auto"/>
          <w:sz w:val="20"/>
          <w:szCs w:val="20"/>
          <w:lang w:val="es-VE"/>
        </w:rPr>
        <w:t xml:space="preserve"> judicial</w:t>
      </w:r>
      <w:r w:rsidRPr="00A321D3">
        <w:rPr>
          <w:color w:val="auto"/>
          <w:sz w:val="20"/>
          <w:szCs w:val="20"/>
          <w:vertAlign w:val="superscript"/>
        </w:rPr>
        <w:footnoteReference w:id="114"/>
      </w:r>
      <w:bookmarkEnd w:id="41"/>
      <w:bookmarkEnd w:id="42"/>
    </w:p>
    <w:p w14:paraId="75070DA2" w14:textId="77777777" w:rsidR="00A321D3" w:rsidRPr="00A321D3" w:rsidRDefault="00A321D3" w:rsidP="00975184">
      <w:pPr>
        <w:rPr>
          <w:rFonts w:asciiTheme="majorHAnsi" w:hAnsiTheme="majorHAnsi"/>
          <w:sz w:val="20"/>
          <w:szCs w:val="20"/>
          <w:lang w:val="es-VE"/>
        </w:rPr>
      </w:pPr>
    </w:p>
    <w:p w14:paraId="2AA305AD" w14:textId="77777777" w:rsidR="00B93840" w:rsidRDefault="00A321D3" w:rsidP="0097518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A321D3">
        <w:rPr>
          <w:rFonts w:asciiTheme="majorHAnsi" w:hAnsiTheme="majorHAnsi"/>
          <w:sz w:val="20"/>
          <w:szCs w:val="20"/>
          <w:lang w:val="es-VE"/>
        </w:rPr>
        <w:t>El derecho a recurrir el fallo hace parte del debido proceso legal de un procedimiento sancionatorio disciplinario</w:t>
      </w:r>
      <w:r w:rsidRPr="00A321D3">
        <w:rPr>
          <w:rFonts w:asciiTheme="majorHAnsi" w:hAnsiTheme="majorHAnsi"/>
          <w:sz w:val="20"/>
          <w:szCs w:val="20"/>
          <w:vertAlign w:val="superscript"/>
          <w:lang w:val="es-VE"/>
        </w:rPr>
        <w:footnoteReference w:id="115"/>
      </w:r>
      <w:r w:rsidRPr="00A321D3">
        <w:rPr>
          <w:rFonts w:asciiTheme="majorHAnsi" w:hAnsiTheme="majorHAnsi"/>
          <w:sz w:val="20"/>
          <w:szCs w:val="20"/>
          <w:lang w:val="es-VE"/>
        </w:rPr>
        <w:t xml:space="preserve"> y es una garantía primordial cuya finalidad es evitar que se consolide una situación de injusticia</w:t>
      </w:r>
      <w:r w:rsidRPr="00A321D3">
        <w:rPr>
          <w:rFonts w:asciiTheme="majorHAnsi" w:hAnsiTheme="majorHAnsi"/>
          <w:sz w:val="20"/>
          <w:szCs w:val="20"/>
          <w:vertAlign w:val="superscript"/>
          <w:lang w:val="es-VE"/>
        </w:rPr>
        <w:footnoteReference w:id="116"/>
      </w:r>
      <w:r w:rsidRPr="00A321D3">
        <w:rPr>
          <w:rFonts w:asciiTheme="majorHAnsi" w:hAnsiTheme="majorHAnsi"/>
          <w:sz w:val="20"/>
          <w:szCs w:val="20"/>
          <w:lang w:val="es-VE"/>
        </w:rPr>
        <w:t>. En cuanto al alcance del derecho a recurrir, tanto la CIDH como la Corte han indicado que este implica un examen por un juez o tribunal distinto y de superior jerarquía tanto de aspectos de hecho como de derecho de la decisión recurrida</w:t>
      </w:r>
      <w:r w:rsidRPr="00A321D3">
        <w:rPr>
          <w:rFonts w:asciiTheme="majorHAnsi" w:hAnsiTheme="majorHAnsi"/>
          <w:sz w:val="20"/>
          <w:szCs w:val="20"/>
          <w:vertAlign w:val="superscript"/>
          <w:lang w:val="es-VE"/>
        </w:rPr>
        <w:footnoteReference w:id="117"/>
      </w:r>
      <w:r w:rsidRPr="00A321D3">
        <w:rPr>
          <w:rFonts w:asciiTheme="majorHAnsi" w:hAnsiTheme="majorHAnsi"/>
          <w:sz w:val="20"/>
          <w:szCs w:val="20"/>
          <w:lang w:val="es-VE"/>
        </w:rPr>
        <w:t>. Debe proceder antes que la sentencia adquiera calidad de cosa juzgada, debe ser resuelto en un plazo razonable, debe ser oportuno y eficaz, es decir, debe dar resultado o respuesta al fin para el cual fue concebido. Además, debe ser accesible, sin requerir mayores formalidades que tornen ilusorio el derecho</w:t>
      </w:r>
      <w:r w:rsidRPr="00A321D3">
        <w:rPr>
          <w:rFonts w:asciiTheme="majorHAnsi" w:hAnsiTheme="majorHAnsi"/>
          <w:sz w:val="20"/>
          <w:szCs w:val="20"/>
          <w:vertAlign w:val="superscript"/>
          <w:lang w:val="es-VE"/>
        </w:rPr>
        <w:footnoteReference w:id="118"/>
      </w:r>
      <w:r w:rsidRPr="00A321D3">
        <w:rPr>
          <w:rFonts w:asciiTheme="majorHAnsi" w:hAnsiTheme="majorHAnsi"/>
          <w:sz w:val="20"/>
          <w:szCs w:val="20"/>
          <w:lang w:val="es-VE"/>
        </w:rPr>
        <w:t xml:space="preserve">.  </w:t>
      </w:r>
    </w:p>
    <w:p w14:paraId="4B1D8135" w14:textId="77777777" w:rsidR="00B93840" w:rsidRDefault="00B93840" w:rsidP="0097518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sz w:val="20"/>
          <w:szCs w:val="20"/>
          <w:lang w:val="es-VE"/>
        </w:rPr>
      </w:pPr>
    </w:p>
    <w:p w14:paraId="45F2B368" w14:textId="77777777" w:rsidR="00B93840" w:rsidRDefault="00A321D3" w:rsidP="0097518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B93840">
        <w:rPr>
          <w:rFonts w:asciiTheme="majorHAnsi" w:hAnsiTheme="majorHAnsi"/>
          <w:sz w:val="20"/>
          <w:szCs w:val="20"/>
          <w:lang w:val="es-VE"/>
        </w:rPr>
        <w:t>La CIDH recuerda que el Estado está en la obligación general de proveer recursos judiciales efectivos a las personas que aleguen ser víctimas de violaciones de derechos humanos (artículo 25), los cuales deben ser sustanciados de conformidad con las reglas del debido proceso legal (artículo 8.1). Para que exista un recurso efectivo no basta con que esté previsto legalmente sino que deber ser realmente idóneo para establecer si se ha incurrido en una violación a los derechos humanos, y proveer lo necesario para remediarla</w:t>
      </w:r>
      <w:r w:rsidRPr="00A321D3">
        <w:rPr>
          <w:rFonts w:asciiTheme="majorHAnsi" w:hAnsiTheme="majorHAnsi"/>
          <w:sz w:val="20"/>
          <w:szCs w:val="20"/>
          <w:vertAlign w:val="superscript"/>
          <w:lang w:val="es-VE"/>
        </w:rPr>
        <w:footnoteReference w:id="119"/>
      </w:r>
      <w:r w:rsidRPr="00B93840">
        <w:rPr>
          <w:rFonts w:asciiTheme="majorHAnsi" w:hAnsiTheme="majorHAnsi"/>
          <w:sz w:val="20"/>
          <w:szCs w:val="20"/>
          <w:lang w:val="es-VE"/>
        </w:rPr>
        <w:t xml:space="preserve">. </w:t>
      </w:r>
    </w:p>
    <w:p w14:paraId="0AD97EDE" w14:textId="77777777" w:rsidR="00B93840" w:rsidRDefault="00B93840" w:rsidP="00975184">
      <w:pPr>
        <w:pStyle w:val="ListParagraph"/>
        <w:rPr>
          <w:rFonts w:asciiTheme="majorHAnsi" w:hAnsiTheme="majorHAnsi"/>
          <w:sz w:val="20"/>
          <w:szCs w:val="20"/>
          <w:lang w:val="es-VE"/>
        </w:rPr>
      </w:pPr>
    </w:p>
    <w:p w14:paraId="54E4B535" w14:textId="01CABC4D" w:rsidR="00B93840" w:rsidRDefault="00A321D3" w:rsidP="0097518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B93840">
        <w:rPr>
          <w:rFonts w:asciiTheme="majorHAnsi" w:hAnsiTheme="majorHAnsi"/>
          <w:sz w:val="20"/>
          <w:szCs w:val="20"/>
          <w:lang w:val="es-VE"/>
        </w:rPr>
        <w:t>En el presente caso, la Comisión nota</w:t>
      </w:r>
      <w:r w:rsidR="00F0672A">
        <w:rPr>
          <w:rFonts w:asciiTheme="majorHAnsi" w:hAnsiTheme="majorHAnsi"/>
          <w:sz w:val="20"/>
          <w:szCs w:val="20"/>
          <w:lang w:val="es-VE"/>
        </w:rPr>
        <w:t xml:space="preserve"> que</w:t>
      </w:r>
      <w:r w:rsidRPr="00B93840">
        <w:rPr>
          <w:rFonts w:asciiTheme="majorHAnsi" w:hAnsiTheme="majorHAnsi"/>
          <w:sz w:val="20"/>
          <w:szCs w:val="20"/>
          <w:lang w:val="es-VE"/>
        </w:rPr>
        <w:t xml:space="preserve"> tanto la Ley 26397 como la Constitución Política disponían que no son impugnables las decisiones del Consejo Nacional de la Magistratura,  y solo procedía el amparo, cuando en el marco del proceso se vulneró el debido proceso. La Comisión recuerda que el amparo interpuesto por la presunta víctima fue declarado improcedente por el Juzgado de Derecho Público, el 27 de noviembre de 1996, al considerarse que la resolución del Consejo realizó un amplio examen de lo actuado y su decisión fue suficientemente motivada, lo cual impide  el análisis de los demás argumentos de fondo porque no existió violación a las normas del debido proceso. </w:t>
      </w:r>
    </w:p>
    <w:p w14:paraId="650892AF" w14:textId="77777777" w:rsidR="00B93840" w:rsidRDefault="00B93840" w:rsidP="00975184">
      <w:pPr>
        <w:pStyle w:val="ListParagraph"/>
        <w:rPr>
          <w:rFonts w:asciiTheme="majorHAnsi" w:hAnsiTheme="majorHAnsi"/>
          <w:sz w:val="20"/>
          <w:szCs w:val="20"/>
          <w:lang w:val="es-VE"/>
        </w:rPr>
      </w:pPr>
    </w:p>
    <w:p w14:paraId="14F03B03" w14:textId="77777777" w:rsidR="00B93840" w:rsidRDefault="00A321D3" w:rsidP="0097518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B93840">
        <w:rPr>
          <w:rFonts w:asciiTheme="majorHAnsi" w:hAnsiTheme="majorHAnsi"/>
          <w:sz w:val="20"/>
          <w:szCs w:val="20"/>
          <w:lang w:val="es-VE"/>
        </w:rPr>
        <w:t xml:space="preserve">Asimismo, la apelación interpuesta fue denegada el 24 de septiembre de 1997 por la Sala Corporativa Transitoria Especializada de Derecho Público, al considerar que no son revisables en sede judicial las resoluciones del Consejo Nacional de la Magistratura en materia de evaluación y ratificación de jueces. Finalmente, el recurso extraordinario interpuesto ante el Tribunal Constitucional, fue declarado sin lugar al estimarse que en el proceso se cumplieron con las “pautas esenciales del debido proceso”. </w:t>
      </w:r>
    </w:p>
    <w:p w14:paraId="5F14AA18" w14:textId="77777777" w:rsidR="00B93840" w:rsidRDefault="00B93840" w:rsidP="00975184">
      <w:pPr>
        <w:pStyle w:val="ListParagraph"/>
        <w:rPr>
          <w:rFonts w:asciiTheme="majorHAnsi" w:hAnsiTheme="majorHAnsi"/>
          <w:sz w:val="20"/>
          <w:szCs w:val="20"/>
          <w:lang w:val="es-VE"/>
        </w:rPr>
      </w:pPr>
    </w:p>
    <w:p w14:paraId="36CE49EA" w14:textId="6FB98EE6" w:rsidR="00B93840" w:rsidRDefault="00A321D3" w:rsidP="0097518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B93840">
        <w:rPr>
          <w:rFonts w:asciiTheme="majorHAnsi" w:hAnsiTheme="majorHAnsi"/>
          <w:sz w:val="20"/>
          <w:szCs w:val="20"/>
          <w:lang w:val="es-VE"/>
        </w:rPr>
        <w:t xml:space="preserve">Ante este escenario, la </w:t>
      </w:r>
      <w:r w:rsidRPr="003106BE">
        <w:rPr>
          <w:rFonts w:asciiTheme="majorHAnsi" w:hAnsiTheme="majorHAnsi"/>
          <w:sz w:val="20"/>
          <w:szCs w:val="20"/>
          <w:lang w:val="es-VE"/>
        </w:rPr>
        <w:t>CIDH estima que</w:t>
      </w:r>
      <w:r w:rsidR="00D81198" w:rsidRPr="003106BE">
        <w:rPr>
          <w:rFonts w:asciiTheme="majorHAnsi" w:hAnsiTheme="majorHAnsi"/>
          <w:sz w:val="20"/>
          <w:szCs w:val="20"/>
          <w:lang w:val="es-VE"/>
        </w:rPr>
        <w:t xml:space="preserve"> tanto </w:t>
      </w:r>
      <w:r w:rsidRPr="003106BE">
        <w:rPr>
          <w:rFonts w:asciiTheme="majorHAnsi" w:hAnsiTheme="majorHAnsi"/>
          <w:sz w:val="20"/>
          <w:szCs w:val="20"/>
          <w:lang w:val="es-VE"/>
        </w:rPr>
        <w:t xml:space="preserve">del </w:t>
      </w:r>
      <w:r w:rsidR="00D81198" w:rsidRPr="003106BE">
        <w:rPr>
          <w:rFonts w:asciiTheme="majorHAnsi" w:hAnsiTheme="majorHAnsi"/>
          <w:sz w:val="20"/>
          <w:szCs w:val="20"/>
          <w:lang w:val="es-VE"/>
        </w:rPr>
        <w:t xml:space="preserve">marco normativo como del </w:t>
      </w:r>
      <w:r w:rsidRPr="003106BE">
        <w:rPr>
          <w:rFonts w:asciiTheme="majorHAnsi" w:hAnsiTheme="majorHAnsi"/>
          <w:sz w:val="20"/>
          <w:szCs w:val="20"/>
          <w:lang w:val="es-VE"/>
        </w:rPr>
        <w:t>contenido de las decisiones se desprende que no existía un recurso</w:t>
      </w:r>
      <w:r w:rsidR="00D81198" w:rsidRPr="003106BE">
        <w:rPr>
          <w:rFonts w:asciiTheme="majorHAnsi" w:hAnsiTheme="majorHAnsi"/>
          <w:sz w:val="20"/>
          <w:szCs w:val="20"/>
          <w:lang w:val="es-VE"/>
        </w:rPr>
        <w:t xml:space="preserve"> ni en la vía administrativa ni en la judicial </w:t>
      </w:r>
      <w:r w:rsidRPr="003106BE">
        <w:rPr>
          <w:rFonts w:asciiTheme="majorHAnsi" w:hAnsiTheme="majorHAnsi"/>
          <w:sz w:val="20"/>
          <w:szCs w:val="20"/>
          <w:lang w:val="es-VE"/>
        </w:rPr>
        <w:t xml:space="preserve">para </w:t>
      </w:r>
      <w:r w:rsidR="00D81198" w:rsidRPr="003106BE">
        <w:rPr>
          <w:rFonts w:asciiTheme="majorHAnsi" w:hAnsiTheme="majorHAnsi"/>
          <w:sz w:val="20"/>
          <w:szCs w:val="20"/>
          <w:lang w:val="es-VE"/>
        </w:rPr>
        <w:t>obtener una revisión d</w:t>
      </w:r>
      <w:r w:rsidRPr="003106BE">
        <w:rPr>
          <w:rFonts w:asciiTheme="majorHAnsi" w:hAnsiTheme="majorHAnsi"/>
          <w:sz w:val="20"/>
          <w:szCs w:val="20"/>
          <w:lang w:val="es-VE"/>
        </w:rPr>
        <w:t>el fallo sancionatorio</w:t>
      </w:r>
      <w:r w:rsidR="00D81198" w:rsidRPr="003106BE">
        <w:rPr>
          <w:rFonts w:asciiTheme="majorHAnsi" w:hAnsiTheme="majorHAnsi"/>
          <w:sz w:val="20"/>
          <w:szCs w:val="20"/>
          <w:lang w:val="es-VE"/>
        </w:rPr>
        <w:t xml:space="preserve"> por parte de autoridad jerárquica. </w:t>
      </w:r>
      <w:r w:rsidRPr="003106BE">
        <w:rPr>
          <w:rFonts w:asciiTheme="majorHAnsi" w:hAnsiTheme="majorHAnsi"/>
          <w:sz w:val="20"/>
          <w:szCs w:val="20"/>
          <w:lang w:val="es-VE"/>
        </w:rPr>
        <w:t>Asimismo, del contenido de las decisiones de amparo se desprende que los órganos competentes n</w:t>
      </w:r>
      <w:r w:rsidR="0070384E" w:rsidRPr="003106BE">
        <w:rPr>
          <w:rFonts w:asciiTheme="majorHAnsi" w:hAnsiTheme="majorHAnsi"/>
          <w:sz w:val="20"/>
          <w:szCs w:val="20"/>
          <w:lang w:val="es-VE"/>
        </w:rPr>
        <w:t>o</w:t>
      </w:r>
      <w:r w:rsidRPr="003106BE">
        <w:rPr>
          <w:rFonts w:asciiTheme="majorHAnsi" w:hAnsiTheme="majorHAnsi"/>
          <w:sz w:val="20"/>
          <w:szCs w:val="20"/>
          <w:lang w:val="es-VE"/>
        </w:rPr>
        <w:t xml:space="preserve"> realizaron un examen integral tanto de aspectos de hecho como de derecho respecto de la decisión de destitución de la presunta víctima,</w:t>
      </w:r>
      <w:r w:rsidR="0070384E" w:rsidRPr="003106BE">
        <w:rPr>
          <w:rFonts w:asciiTheme="majorHAnsi" w:hAnsiTheme="majorHAnsi"/>
          <w:sz w:val="20"/>
          <w:szCs w:val="20"/>
          <w:lang w:val="es-VE"/>
        </w:rPr>
        <w:t xml:space="preserve"> limitando el ámbito de su competencia a cuestiones de debido proceso. </w:t>
      </w:r>
    </w:p>
    <w:p w14:paraId="22F65EC4" w14:textId="77777777" w:rsidR="00B93840" w:rsidRDefault="00B93840" w:rsidP="00975184">
      <w:pPr>
        <w:pStyle w:val="ListParagraph"/>
        <w:rPr>
          <w:rFonts w:asciiTheme="majorHAnsi" w:hAnsiTheme="majorHAnsi"/>
          <w:sz w:val="20"/>
          <w:szCs w:val="20"/>
          <w:lang w:val="es-VE"/>
        </w:rPr>
      </w:pPr>
    </w:p>
    <w:p w14:paraId="609E46FD" w14:textId="77777777" w:rsidR="00A321D3" w:rsidRPr="00B93840" w:rsidRDefault="00A321D3" w:rsidP="0097518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VE"/>
        </w:rPr>
      </w:pPr>
      <w:r w:rsidRPr="00B93840">
        <w:rPr>
          <w:rFonts w:asciiTheme="majorHAnsi" w:hAnsiTheme="majorHAnsi"/>
          <w:sz w:val="20"/>
          <w:szCs w:val="20"/>
          <w:lang w:val="es-VE"/>
        </w:rPr>
        <w:t xml:space="preserve">En virtud de lo anterior, la Comisión concluye que el Estado peruano es responsable por la violación de los derechos establecidos en el artículo 8.2.h) y 25.1 de la Convención Americana en relación con los artículos 1.1 y 2 del mismo instrumento, en perjuicio de Héctor Fidel Cordero Bernal. </w:t>
      </w:r>
    </w:p>
    <w:p w14:paraId="3316442F" w14:textId="77777777" w:rsidR="00A321D3" w:rsidRPr="00A321D3" w:rsidRDefault="00A321D3" w:rsidP="00975184">
      <w:pPr>
        <w:tabs>
          <w:tab w:val="left" w:pos="720"/>
          <w:tab w:val="left" w:pos="1440"/>
        </w:tabs>
        <w:jc w:val="both"/>
        <w:rPr>
          <w:rFonts w:asciiTheme="majorHAnsi" w:hAnsiTheme="majorHAnsi"/>
          <w:sz w:val="20"/>
          <w:szCs w:val="20"/>
          <w:lang w:val="es-VE"/>
        </w:rPr>
      </w:pPr>
    </w:p>
    <w:p w14:paraId="7842849B" w14:textId="77777777" w:rsidR="00A321D3" w:rsidRPr="00A321D3" w:rsidRDefault="00A321D3" w:rsidP="00975184">
      <w:pPr>
        <w:pStyle w:val="Heading1"/>
        <w:numPr>
          <w:ilvl w:val="0"/>
          <w:numId w:val="63"/>
        </w:numPr>
        <w:ind w:left="1440" w:hanging="720"/>
        <w:jc w:val="both"/>
        <w:rPr>
          <w:i/>
          <w:lang w:val="es-ES"/>
        </w:rPr>
      </w:pPr>
      <w:bookmarkStart w:id="43" w:name="_Toc514247652"/>
      <w:r w:rsidRPr="00A321D3">
        <w:rPr>
          <w:lang w:val="es-ES"/>
        </w:rPr>
        <w:t>Los derechos políticos (Artículo 23</w:t>
      </w:r>
      <w:r w:rsidRPr="00A321D3">
        <w:rPr>
          <w:vertAlign w:val="superscript"/>
        </w:rPr>
        <w:footnoteReference w:id="120"/>
      </w:r>
      <w:r w:rsidRPr="00A321D3">
        <w:rPr>
          <w:lang w:val="es-ES"/>
        </w:rPr>
        <w:t xml:space="preserve"> de la Convención)</w:t>
      </w:r>
      <w:bookmarkEnd w:id="43"/>
    </w:p>
    <w:p w14:paraId="2AE61DBB" w14:textId="77777777" w:rsidR="00A321D3" w:rsidRPr="00A321D3" w:rsidRDefault="00A321D3" w:rsidP="00975184">
      <w:pPr>
        <w:ind w:right="720"/>
        <w:jc w:val="both"/>
        <w:rPr>
          <w:rFonts w:asciiTheme="majorHAnsi" w:eastAsia="Times New Roman" w:hAnsiTheme="majorHAnsi"/>
          <w:sz w:val="20"/>
          <w:szCs w:val="20"/>
          <w:lang w:val="es-ES"/>
        </w:rPr>
      </w:pPr>
    </w:p>
    <w:p w14:paraId="590F464E" w14:textId="77777777" w:rsidR="00A321D3" w:rsidRPr="00A321D3" w:rsidRDefault="00A321D3" w:rsidP="0097518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Cs/>
          <w:sz w:val="20"/>
          <w:szCs w:val="20"/>
          <w:lang w:val="es-CO"/>
        </w:rPr>
      </w:pPr>
      <w:r w:rsidRPr="00A321D3">
        <w:rPr>
          <w:rFonts w:asciiTheme="majorHAnsi" w:hAnsiTheme="majorHAnsi"/>
          <w:bCs/>
          <w:sz w:val="20"/>
          <w:szCs w:val="20"/>
          <w:lang w:val="es-CO"/>
        </w:rPr>
        <w:t>El artículo 23.1.c establece el derecho de jueces y juezas a acceder a cargos públicos “en condiciones de igualdad”. La Corte ha interpretado este artículo indicando que c</w:t>
      </w:r>
      <w:r w:rsidRPr="00A321D3">
        <w:rPr>
          <w:rFonts w:asciiTheme="majorHAnsi" w:eastAsia="Times New Roman" w:hAnsiTheme="majorHAnsi"/>
          <w:sz w:val="20"/>
          <w:szCs w:val="20"/>
          <w:lang w:val="es-MX"/>
        </w:rPr>
        <w:t xml:space="preserve">uando se afecta en forma arbitraria la </w:t>
      </w:r>
      <w:r w:rsidRPr="008D7A7E">
        <w:rPr>
          <w:rFonts w:asciiTheme="majorHAnsi" w:hAnsiTheme="majorHAnsi"/>
          <w:sz w:val="20"/>
          <w:szCs w:val="20"/>
          <w:lang w:val="es-VE"/>
        </w:rPr>
        <w:t>permanencia</w:t>
      </w:r>
      <w:r w:rsidRPr="00A321D3">
        <w:rPr>
          <w:rFonts w:asciiTheme="majorHAnsi" w:eastAsia="Times New Roman" w:hAnsiTheme="majorHAnsi"/>
          <w:sz w:val="20"/>
          <w:szCs w:val="20"/>
          <w:lang w:val="es-MX"/>
        </w:rPr>
        <w:t xml:space="preserve"> de los jueces y las juezas en su cargo, se vulnera el derecho a la independencia judicial consagrad</w:t>
      </w:r>
      <w:r w:rsidRPr="008D7A7E">
        <w:rPr>
          <w:rFonts w:asciiTheme="majorHAnsi" w:hAnsiTheme="majorHAnsi"/>
          <w:sz w:val="20"/>
          <w:szCs w:val="20"/>
          <w:lang w:val="es-VE"/>
        </w:rPr>
        <w:t>o</w:t>
      </w:r>
      <w:r w:rsidRPr="00A321D3">
        <w:rPr>
          <w:rFonts w:asciiTheme="majorHAnsi" w:eastAsia="Times New Roman" w:hAnsiTheme="majorHAnsi"/>
          <w:sz w:val="20"/>
          <w:szCs w:val="20"/>
          <w:lang w:val="es-MX"/>
        </w:rPr>
        <w:t xml:space="preserve"> en el artículo 8.1 de la Convención Americana, en conjunción con el derecho de acceso y permanencia en condiciones generales de igualdad en un cargo público, establecido en el artículo 23.1.c”</w:t>
      </w:r>
      <w:r w:rsidRPr="00A321D3">
        <w:rPr>
          <w:rStyle w:val="FootnoteReference"/>
          <w:rFonts w:asciiTheme="majorHAnsi" w:hAnsiTheme="majorHAnsi"/>
          <w:sz w:val="20"/>
          <w:szCs w:val="20"/>
          <w:lang w:val="es-CO"/>
        </w:rPr>
        <w:t xml:space="preserve"> </w:t>
      </w:r>
      <w:r w:rsidRPr="00A321D3">
        <w:rPr>
          <w:rStyle w:val="FootnoteReference"/>
          <w:rFonts w:asciiTheme="majorHAnsi" w:hAnsiTheme="majorHAnsi"/>
          <w:sz w:val="20"/>
          <w:szCs w:val="20"/>
          <w:lang w:val="es-CO"/>
        </w:rPr>
        <w:footnoteReference w:id="121"/>
      </w:r>
      <w:r w:rsidRPr="00A321D3">
        <w:rPr>
          <w:rFonts w:asciiTheme="majorHAnsi" w:eastAsia="Times New Roman" w:hAnsiTheme="majorHAnsi"/>
          <w:sz w:val="20"/>
          <w:szCs w:val="20"/>
          <w:lang w:val="es-MX"/>
        </w:rPr>
        <w:t>.</w:t>
      </w:r>
    </w:p>
    <w:p w14:paraId="3A090118" w14:textId="77777777" w:rsidR="00A321D3" w:rsidRPr="00A321D3" w:rsidRDefault="00A321D3" w:rsidP="00975184">
      <w:pPr>
        <w:tabs>
          <w:tab w:val="left" w:pos="1440"/>
        </w:tabs>
        <w:ind w:left="630"/>
        <w:jc w:val="both"/>
        <w:rPr>
          <w:rFonts w:asciiTheme="majorHAnsi" w:hAnsiTheme="majorHAnsi"/>
          <w:bCs/>
          <w:sz w:val="20"/>
          <w:szCs w:val="20"/>
          <w:lang w:val="es-CO"/>
        </w:rPr>
      </w:pPr>
    </w:p>
    <w:p w14:paraId="067BB8A2" w14:textId="5A4B8FA2" w:rsidR="00A321D3" w:rsidRPr="00EA0209" w:rsidRDefault="00A321D3" w:rsidP="0097518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bCs/>
          <w:sz w:val="20"/>
          <w:szCs w:val="20"/>
          <w:lang w:val="es-CO"/>
        </w:rPr>
      </w:pPr>
      <w:r w:rsidRPr="00A321D3">
        <w:rPr>
          <w:rFonts w:asciiTheme="majorHAnsi" w:hAnsiTheme="majorHAnsi"/>
          <w:bCs/>
          <w:sz w:val="20"/>
          <w:szCs w:val="20"/>
          <w:lang w:val="es-CO"/>
        </w:rPr>
        <w:t>En</w:t>
      </w:r>
      <w:r w:rsidRPr="008D7A7E">
        <w:rPr>
          <w:rFonts w:asciiTheme="majorHAnsi" w:hAnsiTheme="majorHAnsi"/>
          <w:sz w:val="20"/>
          <w:szCs w:val="20"/>
          <w:lang w:val="es-VE"/>
        </w:rPr>
        <w:t xml:space="preserve"> </w:t>
      </w:r>
      <w:r w:rsidRPr="00A321D3">
        <w:rPr>
          <w:rFonts w:asciiTheme="majorHAnsi" w:hAnsiTheme="majorHAnsi"/>
          <w:bCs/>
          <w:sz w:val="20"/>
          <w:szCs w:val="20"/>
          <w:lang w:val="es-CO"/>
        </w:rPr>
        <w:t xml:space="preserve">el presente caso ha quedado establecido que el señor Héctor Fidel Cordero Bernal fue separado del cargo en un proceso arbitrario en el cual se </w:t>
      </w:r>
      <w:r w:rsidRPr="009C4229">
        <w:rPr>
          <w:rFonts w:asciiTheme="majorHAnsi" w:hAnsiTheme="majorHAnsi"/>
          <w:bCs/>
          <w:sz w:val="20"/>
          <w:szCs w:val="20"/>
          <w:lang w:val="es-CO"/>
        </w:rPr>
        <w:t>cometieron violaciones tanto al debido proceso como al principio de legalidad en los términos descritos a lo largo de este informe de fondo.</w:t>
      </w:r>
      <w:r w:rsidR="00052739" w:rsidRPr="009C4229">
        <w:rPr>
          <w:rFonts w:asciiTheme="majorHAnsi" w:hAnsiTheme="majorHAnsi"/>
          <w:bCs/>
          <w:sz w:val="20"/>
          <w:szCs w:val="20"/>
          <w:lang w:val="es-CO"/>
        </w:rPr>
        <w:t xml:space="preserve"> Asimismo, se estableció que el proceso disciplinario fue llevado a cabo de manera incompatible con el principio de independencia judicial. </w:t>
      </w:r>
      <w:r w:rsidRPr="009C4229">
        <w:rPr>
          <w:rFonts w:asciiTheme="majorHAnsi" w:hAnsiTheme="majorHAnsi"/>
          <w:sz w:val="20"/>
          <w:szCs w:val="20"/>
          <w:lang w:val="es-US"/>
        </w:rPr>
        <w:t>En tales circunstancias y en cons</w:t>
      </w:r>
      <w:r w:rsidR="00EA0209" w:rsidRPr="009C4229">
        <w:rPr>
          <w:rFonts w:asciiTheme="majorHAnsi" w:hAnsiTheme="majorHAnsi"/>
          <w:sz w:val="20"/>
          <w:szCs w:val="20"/>
          <w:lang w:val="es-US"/>
        </w:rPr>
        <w:t>onancia</w:t>
      </w:r>
      <w:r w:rsidRPr="009C4229">
        <w:rPr>
          <w:rFonts w:asciiTheme="majorHAnsi" w:hAnsiTheme="majorHAnsi"/>
          <w:sz w:val="20"/>
          <w:szCs w:val="20"/>
          <w:lang w:val="es-US"/>
        </w:rPr>
        <w:t xml:space="preserve"> con el criterio mencionado en el párrafo anterior, la Comisión considera que el Estado también violó el </w:t>
      </w:r>
      <w:r w:rsidRPr="009C4229">
        <w:rPr>
          <w:rFonts w:asciiTheme="majorHAnsi" w:hAnsiTheme="majorHAnsi"/>
          <w:sz w:val="20"/>
          <w:szCs w:val="20"/>
          <w:lang w:val="es-CO"/>
        </w:rPr>
        <w:t>artículo 23.1 c) de la Convención</w:t>
      </w:r>
      <w:r w:rsidRPr="00A321D3">
        <w:rPr>
          <w:rFonts w:asciiTheme="majorHAnsi" w:hAnsiTheme="majorHAnsi"/>
          <w:sz w:val="20"/>
          <w:szCs w:val="20"/>
          <w:lang w:val="es-CO"/>
        </w:rPr>
        <w:t xml:space="preserve"> Americana en relación con el artículo 1.1 del mismo instrumento, en perjuicio del señor Héctor Fidel Cordero Bernal. </w:t>
      </w:r>
    </w:p>
    <w:p w14:paraId="5366DA32" w14:textId="77777777" w:rsidR="00EA0209" w:rsidRPr="00A321D3" w:rsidRDefault="00EA0209" w:rsidP="00975184">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Cs/>
          <w:sz w:val="20"/>
          <w:szCs w:val="20"/>
          <w:lang w:val="es-CO"/>
        </w:rPr>
      </w:pPr>
    </w:p>
    <w:p w14:paraId="0665235A" w14:textId="77777777" w:rsidR="00A321D3" w:rsidRPr="00A321D3" w:rsidRDefault="00A321D3" w:rsidP="00975184">
      <w:pPr>
        <w:pStyle w:val="Heading1"/>
        <w:numPr>
          <w:ilvl w:val="0"/>
          <w:numId w:val="55"/>
        </w:numPr>
        <w:ind w:hanging="810"/>
      </w:pPr>
      <w:bookmarkStart w:id="44" w:name="_Toc482785407"/>
      <w:bookmarkStart w:id="45" w:name="_Toc483500323"/>
      <w:bookmarkStart w:id="46" w:name="_Toc491441658"/>
      <w:bookmarkStart w:id="47" w:name="_Toc497398878"/>
      <w:bookmarkStart w:id="48" w:name="_Toc505243755"/>
      <w:bookmarkStart w:id="49" w:name="_Toc511052172"/>
      <w:bookmarkStart w:id="50" w:name="_Toc514247653"/>
      <w:r w:rsidRPr="00A321D3">
        <w:t>CONCLUSIONES</w:t>
      </w:r>
      <w:bookmarkEnd w:id="44"/>
      <w:bookmarkEnd w:id="45"/>
      <w:bookmarkEnd w:id="46"/>
      <w:bookmarkEnd w:id="47"/>
      <w:bookmarkEnd w:id="48"/>
      <w:bookmarkEnd w:id="49"/>
      <w:bookmarkEnd w:id="50"/>
    </w:p>
    <w:p w14:paraId="7109DC87" w14:textId="77777777" w:rsidR="00A321D3" w:rsidRPr="00A321D3" w:rsidRDefault="00A321D3" w:rsidP="00975184">
      <w:pPr>
        <w:rPr>
          <w:rFonts w:asciiTheme="majorHAnsi" w:hAnsiTheme="majorHAnsi"/>
          <w:sz w:val="20"/>
          <w:szCs w:val="20"/>
          <w:lang w:val="es-ES_tradnl"/>
        </w:rPr>
      </w:pPr>
    </w:p>
    <w:p w14:paraId="225E2706" w14:textId="025A38A5" w:rsidR="00A321D3" w:rsidRDefault="00A321D3" w:rsidP="0097518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MX"/>
        </w:rPr>
      </w:pPr>
      <w:r w:rsidRPr="00A321D3">
        <w:rPr>
          <w:rFonts w:asciiTheme="majorHAnsi" w:hAnsiTheme="majorHAnsi"/>
          <w:sz w:val="20"/>
          <w:szCs w:val="20"/>
          <w:lang w:val="es-MX"/>
        </w:rPr>
        <w:t xml:space="preserve">La Comisión concluye que el Estado peruano es responsable por la violación de los derechos a las garantías judiciales, principio de legalidad, derechos políticos y  protección judicial establecidos en los artículos </w:t>
      </w:r>
      <w:r w:rsidR="000F6BB5" w:rsidRPr="009C4229">
        <w:rPr>
          <w:rFonts w:asciiTheme="majorHAnsi" w:hAnsiTheme="majorHAnsi"/>
          <w:sz w:val="20"/>
          <w:szCs w:val="20"/>
          <w:lang w:val="es-MX"/>
        </w:rPr>
        <w:t xml:space="preserve">8.1, </w:t>
      </w:r>
      <w:r w:rsidRPr="009C4229">
        <w:rPr>
          <w:rFonts w:asciiTheme="majorHAnsi" w:hAnsiTheme="majorHAnsi"/>
          <w:sz w:val="20"/>
          <w:szCs w:val="20"/>
          <w:lang w:val="es-MX"/>
        </w:rPr>
        <w:t>8.2 h), 9,</w:t>
      </w:r>
      <w:r w:rsidRPr="00A321D3">
        <w:rPr>
          <w:rFonts w:asciiTheme="majorHAnsi" w:hAnsiTheme="majorHAnsi"/>
          <w:sz w:val="20"/>
          <w:szCs w:val="20"/>
          <w:lang w:val="es-MX"/>
        </w:rPr>
        <w:t xml:space="preserve"> 23.1 c) y  25.1 de la Convención Americana en relación con las obligaciones establecidas en los artículos 1.1 y 2 del </w:t>
      </w:r>
      <w:r w:rsidRPr="008D7A7E">
        <w:rPr>
          <w:rFonts w:asciiTheme="majorHAnsi" w:hAnsiTheme="majorHAnsi"/>
          <w:bCs/>
          <w:sz w:val="20"/>
          <w:szCs w:val="20"/>
          <w:lang w:val="es-CO"/>
        </w:rPr>
        <w:t>mismo</w:t>
      </w:r>
      <w:r w:rsidRPr="00A321D3">
        <w:rPr>
          <w:rFonts w:asciiTheme="majorHAnsi" w:hAnsiTheme="majorHAnsi"/>
          <w:sz w:val="20"/>
          <w:szCs w:val="20"/>
          <w:lang w:val="es-MX"/>
        </w:rPr>
        <w:t xml:space="preserve"> instrumento, en perjuicio de Héctor Fidel Cordero Bernal.   </w:t>
      </w:r>
    </w:p>
    <w:p w14:paraId="0CE8A2AC" w14:textId="77777777" w:rsidR="00A321D3" w:rsidRPr="00A321D3" w:rsidRDefault="00A321D3" w:rsidP="009751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Times New Roman" w:hAnsiTheme="majorHAnsi" w:cs="Courier New"/>
          <w:color w:val="212121"/>
          <w:sz w:val="20"/>
          <w:szCs w:val="20"/>
          <w:bdr w:val="none" w:sz="0" w:space="0" w:color="auto"/>
          <w:lang w:val="es-VE"/>
        </w:rPr>
      </w:pPr>
    </w:p>
    <w:p w14:paraId="53B54739" w14:textId="77777777" w:rsidR="00A321D3" w:rsidRPr="00A321D3" w:rsidRDefault="00A321D3" w:rsidP="00975184">
      <w:pPr>
        <w:pStyle w:val="Heading1"/>
        <w:numPr>
          <w:ilvl w:val="0"/>
          <w:numId w:val="55"/>
        </w:numPr>
        <w:ind w:hanging="810"/>
      </w:pPr>
      <w:bookmarkStart w:id="51" w:name="_Toc497398879"/>
      <w:bookmarkStart w:id="52" w:name="_Toc505243756"/>
      <w:bookmarkStart w:id="53" w:name="_Toc511052173"/>
      <w:bookmarkStart w:id="54" w:name="_Toc514247654"/>
      <w:r w:rsidRPr="00A321D3">
        <w:t>RECOMENDACIONES</w:t>
      </w:r>
      <w:bookmarkEnd w:id="51"/>
      <w:bookmarkEnd w:id="52"/>
      <w:bookmarkEnd w:id="53"/>
      <w:bookmarkEnd w:id="54"/>
      <w:r w:rsidRPr="00A321D3">
        <w:t xml:space="preserve"> </w:t>
      </w:r>
    </w:p>
    <w:p w14:paraId="6C7A2C06" w14:textId="77777777" w:rsidR="00A321D3" w:rsidRPr="00A321D3" w:rsidRDefault="00A321D3" w:rsidP="00975184">
      <w:pPr>
        <w:rPr>
          <w:rFonts w:asciiTheme="majorHAnsi" w:hAnsiTheme="majorHAnsi"/>
          <w:sz w:val="20"/>
          <w:szCs w:val="20"/>
          <w:lang w:val="es-ES_tradnl"/>
        </w:rPr>
      </w:pPr>
    </w:p>
    <w:p w14:paraId="25F7C59D" w14:textId="77777777" w:rsidR="00A321D3" w:rsidRPr="00A321D3" w:rsidRDefault="00A321D3" w:rsidP="00975184">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630"/>
        <w:jc w:val="both"/>
        <w:rPr>
          <w:rFonts w:asciiTheme="majorHAnsi" w:hAnsiTheme="majorHAnsi"/>
          <w:sz w:val="20"/>
          <w:szCs w:val="20"/>
          <w:lang w:val="es-MX"/>
        </w:rPr>
      </w:pPr>
      <w:r w:rsidRPr="00A321D3">
        <w:rPr>
          <w:rFonts w:asciiTheme="majorHAnsi" w:hAnsiTheme="majorHAnsi"/>
          <w:sz w:val="20"/>
          <w:szCs w:val="20"/>
          <w:lang w:val="es-MX"/>
        </w:rPr>
        <w:t>Con fundamento en las anteriores conclusiones,</w:t>
      </w:r>
    </w:p>
    <w:p w14:paraId="2D64CD03" w14:textId="77777777" w:rsidR="00A321D3" w:rsidRPr="00A321D3" w:rsidRDefault="00A321D3" w:rsidP="0097518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hAnsiTheme="majorHAnsi"/>
          <w:sz w:val="20"/>
          <w:szCs w:val="20"/>
          <w:lang w:val="es-MX"/>
        </w:rPr>
      </w:pPr>
    </w:p>
    <w:p w14:paraId="0F19AFAE" w14:textId="77777777" w:rsidR="00A321D3" w:rsidRPr="00A321D3" w:rsidRDefault="00A321D3" w:rsidP="0097518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num" w:pos="2040"/>
        </w:tabs>
        <w:ind w:firstLine="720"/>
        <w:jc w:val="both"/>
        <w:rPr>
          <w:rFonts w:asciiTheme="majorHAnsi" w:hAnsiTheme="majorHAnsi"/>
          <w:sz w:val="20"/>
          <w:szCs w:val="20"/>
          <w:lang w:val="es-MX"/>
        </w:rPr>
      </w:pPr>
      <w:r w:rsidRPr="00A321D3">
        <w:rPr>
          <w:rFonts w:asciiTheme="majorHAnsi" w:hAnsiTheme="majorHAnsi"/>
          <w:b/>
          <w:sz w:val="20"/>
          <w:szCs w:val="20"/>
          <w:lang w:val="es-VE"/>
        </w:rPr>
        <w:t>LA COMISIÓN INTERAMERICANA DE DERECHOS HUMANOS RECOMIENDA AL ESTADO PERUANO,</w:t>
      </w:r>
    </w:p>
    <w:p w14:paraId="6775538A" w14:textId="77777777" w:rsidR="00A321D3" w:rsidRPr="00EF6B46" w:rsidRDefault="00A321D3" w:rsidP="00975184">
      <w:pPr>
        <w:pStyle w:val="BodyText3"/>
        <w:tabs>
          <w:tab w:val="left" w:pos="720"/>
          <w:tab w:val="left" w:pos="1440"/>
          <w:tab w:val="left" w:pos="9360"/>
        </w:tabs>
        <w:spacing w:after="0"/>
        <w:jc w:val="both"/>
        <w:rPr>
          <w:rFonts w:asciiTheme="majorHAnsi" w:hAnsiTheme="majorHAnsi"/>
          <w:lang w:val="es-VE"/>
        </w:rPr>
      </w:pPr>
    </w:p>
    <w:p w14:paraId="1B12D137" w14:textId="77777777" w:rsidR="00A321D3" w:rsidRPr="00A321D3" w:rsidRDefault="00A321D3" w:rsidP="00975184">
      <w:pPr>
        <w:pStyle w:val="BodyText3"/>
        <w:numPr>
          <w:ilvl w:val="0"/>
          <w:numId w:val="67"/>
        </w:numPr>
        <w:tabs>
          <w:tab w:val="clear" w:pos="1860"/>
          <w:tab w:val="num" w:pos="0"/>
          <w:tab w:val="left" w:pos="720"/>
          <w:tab w:val="left" w:pos="1440"/>
          <w:tab w:val="left" w:pos="9360"/>
        </w:tabs>
        <w:spacing w:after="0"/>
        <w:ind w:left="0" w:firstLine="720"/>
        <w:jc w:val="both"/>
        <w:rPr>
          <w:rFonts w:asciiTheme="majorHAnsi" w:hAnsiTheme="majorHAnsi"/>
          <w:sz w:val="20"/>
          <w:szCs w:val="20"/>
          <w:lang w:val="es-VE"/>
        </w:rPr>
      </w:pPr>
      <w:r w:rsidRPr="00A321D3">
        <w:rPr>
          <w:rFonts w:asciiTheme="majorHAnsi" w:hAnsiTheme="majorHAnsi"/>
          <w:sz w:val="20"/>
          <w:szCs w:val="20"/>
          <w:lang w:val="es-VE"/>
        </w:rPr>
        <w:t xml:space="preserve">Reincorporar a Héctor Fidel Cordero Bernal, en caso de ser este su deseo, en un cargo similar al que desempeñaba en el Poder Judicial, con la misma remuneración, beneficios sociales y rango equiparable a los que le correspondería el día de hoy si no hubiera sido destituido. Si por razones fundadas no es posible la reincorporación, pagar una indemnización alternativa. </w:t>
      </w:r>
    </w:p>
    <w:p w14:paraId="3BF0FD07" w14:textId="77777777" w:rsidR="00A321D3" w:rsidRPr="00EF6B46" w:rsidRDefault="00A321D3" w:rsidP="00975184">
      <w:pPr>
        <w:pStyle w:val="BodyText3"/>
        <w:tabs>
          <w:tab w:val="left" w:pos="720"/>
          <w:tab w:val="left" w:pos="1440"/>
          <w:tab w:val="left" w:pos="9360"/>
        </w:tabs>
        <w:spacing w:after="0"/>
        <w:jc w:val="both"/>
        <w:rPr>
          <w:rFonts w:asciiTheme="majorHAnsi" w:hAnsiTheme="majorHAnsi"/>
          <w:lang w:val="es-VE"/>
        </w:rPr>
      </w:pPr>
    </w:p>
    <w:p w14:paraId="2727CB6A" w14:textId="77777777" w:rsidR="00A321D3" w:rsidRPr="00A321D3" w:rsidRDefault="00A321D3" w:rsidP="00975184">
      <w:pPr>
        <w:pStyle w:val="BodyText3"/>
        <w:numPr>
          <w:ilvl w:val="0"/>
          <w:numId w:val="67"/>
        </w:numPr>
        <w:tabs>
          <w:tab w:val="clear" w:pos="1860"/>
          <w:tab w:val="num" w:pos="0"/>
          <w:tab w:val="left" w:pos="720"/>
          <w:tab w:val="left" w:pos="1440"/>
          <w:tab w:val="left" w:pos="9360"/>
        </w:tabs>
        <w:spacing w:after="0"/>
        <w:ind w:left="0" w:firstLine="720"/>
        <w:jc w:val="both"/>
        <w:rPr>
          <w:rFonts w:asciiTheme="majorHAnsi" w:hAnsiTheme="majorHAnsi"/>
          <w:sz w:val="20"/>
          <w:szCs w:val="20"/>
          <w:lang w:val="es-VE"/>
        </w:rPr>
      </w:pPr>
      <w:r w:rsidRPr="00A321D3">
        <w:rPr>
          <w:rFonts w:asciiTheme="majorHAnsi" w:hAnsiTheme="majorHAnsi"/>
          <w:sz w:val="20"/>
          <w:szCs w:val="20"/>
          <w:lang w:val="es-VE"/>
        </w:rPr>
        <w:t xml:space="preserve">Reparar integralmente las violaciones de derechos declaradas en el presente informe incluyendo el aspecto material e inmaterial. </w:t>
      </w:r>
    </w:p>
    <w:p w14:paraId="3CB35B21" w14:textId="77777777" w:rsidR="00A321D3" w:rsidRPr="00EF6B46" w:rsidRDefault="00A321D3" w:rsidP="00975184">
      <w:pPr>
        <w:pStyle w:val="ListParagraph"/>
        <w:rPr>
          <w:rFonts w:asciiTheme="majorHAnsi" w:hAnsiTheme="majorHAnsi"/>
          <w:sz w:val="16"/>
          <w:szCs w:val="16"/>
          <w:lang w:val="es-VE"/>
        </w:rPr>
      </w:pPr>
    </w:p>
    <w:p w14:paraId="47BBCE9D" w14:textId="7585B1A3" w:rsidR="00A321D3" w:rsidRPr="009C4229" w:rsidRDefault="00A321D3" w:rsidP="00975184">
      <w:pPr>
        <w:pStyle w:val="BodyText3"/>
        <w:numPr>
          <w:ilvl w:val="0"/>
          <w:numId w:val="67"/>
        </w:numPr>
        <w:tabs>
          <w:tab w:val="clear" w:pos="1860"/>
          <w:tab w:val="num" w:pos="0"/>
          <w:tab w:val="left" w:pos="720"/>
          <w:tab w:val="left" w:pos="1440"/>
          <w:tab w:val="left" w:pos="9360"/>
        </w:tabs>
        <w:spacing w:after="0"/>
        <w:ind w:left="0" w:firstLine="720"/>
        <w:jc w:val="both"/>
        <w:rPr>
          <w:rFonts w:asciiTheme="majorHAnsi" w:hAnsiTheme="majorHAnsi"/>
          <w:sz w:val="20"/>
          <w:szCs w:val="20"/>
          <w:lang w:val="es-VE"/>
        </w:rPr>
      </w:pPr>
      <w:r w:rsidRPr="00A321D3">
        <w:rPr>
          <w:rFonts w:asciiTheme="majorHAnsi" w:hAnsiTheme="majorHAnsi"/>
          <w:sz w:val="20"/>
          <w:szCs w:val="20"/>
          <w:lang w:val="es-VE"/>
        </w:rPr>
        <w:t xml:space="preserve">Adecuar la </w:t>
      </w:r>
      <w:r w:rsidRPr="009C4229">
        <w:rPr>
          <w:rFonts w:asciiTheme="majorHAnsi" w:hAnsiTheme="majorHAnsi"/>
          <w:sz w:val="20"/>
          <w:szCs w:val="20"/>
          <w:lang w:val="es-VE"/>
        </w:rPr>
        <w:t xml:space="preserve">legislación interna, para asegurar que los procesos disciplinarios en contra de las y los operadores de justicia </w:t>
      </w:r>
      <w:r w:rsidR="00D47289" w:rsidRPr="009C4229">
        <w:rPr>
          <w:rFonts w:asciiTheme="majorHAnsi" w:hAnsiTheme="majorHAnsi"/>
          <w:sz w:val="20"/>
          <w:szCs w:val="20"/>
          <w:lang w:val="es-VE"/>
        </w:rPr>
        <w:t xml:space="preserve">sean compatibles con los estándares en materia de independencia judicial establecidos en el presente informe y </w:t>
      </w:r>
      <w:r w:rsidRPr="009C4229">
        <w:rPr>
          <w:rFonts w:asciiTheme="majorHAnsi" w:hAnsiTheme="majorHAnsi"/>
          <w:sz w:val="20"/>
          <w:szCs w:val="20"/>
          <w:lang w:val="es-VE"/>
        </w:rPr>
        <w:t xml:space="preserve">cumplan con todas las garantías del debido proceso y el principio de legalidad. Específicamente, </w:t>
      </w:r>
      <w:r w:rsidR="00D47289" w:rsidRPr="009C4229">
        <w:rPr>
          <w:rFonts w:asciiTheme="majorHAnsi" w:hAnsiTheme="majorHAnsi"/>
          <w:sz w:val="20"/>
          <w:szCs w:val="20"/>
          <w:lang w:val="es-VE"/>
        </w:rPr>
        <w:t xml:space="preserve">se deben </w:t>
      </w:r>
      <w:r w:rsidRPr="009C4229">
        <w:rPr>
          <w:rFonts w:asciiTheme="majorHAnsi" w:hAnsiTheme="majorHAnsi"/>
          <w:sz w:val="20"/>
          <w:szCs w:val="20"/>
          <w:lang w:val="es-VE"/>
        </w:rPr>
        <w:t xml:space="preserve">tomar las medidas </w:t>
      </w:r>
      <w:r w:rsidR="00D47289" w:rsidRPr="009C4229">
        <w:rPr>
          <w:rFonts w:asciiTheme="majorHAnsi" w:hAnsiTheme="majorHAnsi"/>
          <w:sz w:val="20"/>
          <w:szCs w:val="20"/>
          <w:lang w:val="es-VE"/>
        </w:rPr>
        <w:t xml:space="preserve">necesarias </w:t>
      </w:r>
      <w:r w:rsidRPr="009C4229">
        <w:rPr>
          <w:rFonts w:asciiTheme="majorHAnsi" w:hAnsiTheme="majorHAnsi"/>
          <w:sz w:val="20"/>
          <w:szCs w:val="20"/>
          <w:lang w:val="es-VE"/>
        </w:rPr>
        <w:t>para que los procesos garanticen el derecho a recurrir el fallo</w:t>
      </w:r>
      <w:r w:rsidR="00D47289" w:rsidRPr="009C4229">
        <w:rPr>
          <w:rFonts w:asciiTheme="majorHAnsi" w:hAnsiTheme="majorHAnsi"/>
          <w:sz w:val="20"/>
          <w:szCs w:val="20"/>
          <w:lang w:val="es-VE"/>
        </w:rPr>
        <w:t xml:space="preserve"> sancionatorio</w:t>
      </w:r>
      <w:r w:rsidRPr="009C4229">
        <w:rPr>
          <w:rFonts w:asciiTheme="majorHAnsi" w:hAnsiTheme="majorHAnsi"/>
          <w:sz w:val="20"/>
          <w:szCs w:val="20"/>
          <w:lang w:val="es-VE"/>
        </w:rPr>
        <w:t xml:space="preserve"> y la protección judicial. Asimismo, asegurarse que las causales disciplinarias aplicadas y sus sanciones, cumplan con el principio de legalidad.</w:t>
      </w:r>
    </w:p>
    <w:p w14:paraId="0AF23DC5" w14:textId="77777777" w:rsidR="00A321D3" w:rsidRPr="00EF6B46" w:rsidRDefault="00A321D3" w:rsidP="00975184">
      <w:pPr>
        <w:pStyle w:val="BodyText3"/>
        <w:tabs>
          <w:tab w:val="left" w:pos="720"/>
          <w:tab w:val="left" w:pos="1440"/>
          <w:tab w:val="left" w:pos="9360"/>
        </w:tabs>
        <w:spacing w:after="0"/>
        <w:ind w:left="720"/>
        <w:jc w:val="both"/>
        <w:rPr>
          <w:rFonts w:asciiTheme="majorHAnsi" w:hAnsiTheme="majorHAnsi"/>
          <w:lang w:val="es-VE"/>
        </w:rPr>
      </w:pPr>
    </w:p>
    <w:p w14:paraId="30069F64" w14:textId="77777777" w:rsidR="00EF6B46" w:rsidRDefault="00EF6B46" w:rsidP="00EF6B46">
      <w:pPr>
        <w:ind w:firstLine="720"/>
        <w:jc w:val="both"/>
        <w:rPr>
          <w:rFonts w:ascii="Cambria" w:hAnsi="Cambria"/>
          <w:spacing w:val="-2"/>
          <w:sz w:val="20"/>
          <w:szCs w:val="20"/>
          <w:lang w:val="es-CL"/>
        </w:rPr>
      </w:pPr>
      <w:r>
        <w:rPr>
          <w:rFonts w:ascii="Cambria" w:hAnsi="Cambria"/>
          <w:spacing w:val="-2"/>
          <w:sz w:val="20"/>
          <w:szCs w:val="20"/>
          <w:lang w:val="es-CL"/>
        </w:rPr>
        <w:t>Aprobado por la Comisión Interamericana de Derechos Humanos en la ciudad de Boulder, Colorado, a los 5 días del mes de octubre de 2018.  (Firmado): Margarette May Macaulay, Presidenta; Esmeralda Arosemena de Troitiño, Primera Vicepresidenta; Joel Hernández García, Antonia Urrejola y Flavia Piovesan, Miembros de la Comisión.</w:t>
      </w:r>
      <w:r>
        <w:rPr>
          <w:rFonts w:ascii="Cambria" w:hAnsi="Cambria"/>
          <w:sz w:val="20"/>
          <w:szCs w:val="20"/>
          <w:lang w:val="es-CL"/>
        </w:rPr>
        <w:t xml:space="preserve"> </w:t>
      </w:r>
    </w:p>
    <w:p w14:paraId="091D9127" w14:textId="77777777" w:rsidR="00EF6B46" w:rsidRPr="00EF6B46" w:rsidRDefault="00EF6B46" w:rsidP="00EF6B46">
      <w:pPr>
        <w:ind w:firstLine="720"/>
        <w:jc w:val="both"/>
        <w:rPr>
          <w:rFonts w:ascii="Cambria" w:hAnsi="Cambria"/>
          <w:spacing w:val="-2"/>
          <w:sz w:val="16"/>
          <w:szCs w:val="16"/>
          <w:lang w:val="es-CL"/>
        </w:rPr>
      </w:pPr>
    </w:p>
    <w:p w14:paraId="489BA3A0" w14:textId="77777777" w:rsidR="00EF6B46" w:rsidRPr="00EF6B46" w:rsidRDefault="00EF6B46" w:rsidP="00EF6B46">
      <w:pPr>
        <w:ind w:firstLine="720"/>
        <w:jc w:val="both"/>
        <w:rPr>
          <w:rFonts w:ascii="Cambria" w:hAnsi="Cambria"/>
          <w:sz w:val="20"/>
          <w:szCs w:val="20"/>
          <w:lang w:val="es-CL"/>
        </w:rPr>
      </w:pPr>
      <w:r w:rsidRPr="00EF6B46">
        <w:rPr>
          <w:rFonts w:ascii="Cambria" w:hAnsi="Cambria"/>
          <w:sz w:val="20"/>
          <w:szCs w:val="20"/>
          <w:lang w:val="es-CL"/>
        </w:rPr>
        <w:t xml:space="preserve">La que suscribe, </w:t>
      </w:r>
      <w:r w:rsidRPr="00EF6B46">
        <w:rPr>
          <w:rFonts w:ascii="Cambria" w:hAnsi="Cambria" w:cs="Arial"/>
          <w:sz w:val="20"/>
          <w:szCs w:val="20"/>
          <w:lang w:val="es-PE"/>
        </w:rPr>
        <w:t>Marisol Blanchard</w:t>
      </w:r>
      <w:r w:rsidRPr="00EF6B46">
        <w:rPr>
          <w:rFonts w:ascii="Cambria" w:hAnsi="Cambria"/>
          <w:sz w:val="20"/>
          <w:szCs w:val="20"/>
          <w:lang w:val="es-CL"/>
        </w:rPr>
        <w:t>, Jefa de Gabinete de la Secretaría Ejecutiva, de conformidad con el artículo 49 del Reglamento de la Comisión, certifica que es copia fiel del original depositado en los archivos de la Secretaría de la CIDH.</w:t>
      </w:r>
    </w:p>
    <w:p w14:paraId="022A1B0A" w14:textId="77777777" w:rsidR="00EF6B46" w:rsidRPr="00EF6B46" w:rsidRDefault="00EF6B46" w:rsidP="00EF6B46">
      <w:pPr>
        <w:rPr>
          <w:rFonts w:ascii="Cambria" w:hAnsi="Cambria"/>
          <w:sz w:val="20"/>
          <w:szCs w:val="20"/>
          <w:lang w:val="es-PE"/>
        </w:rPr>
      </w:pPr>
    </w:p>
    <w:p w14:paraId="245BF107" w14:textId="77777777" w:rsidR="00EF6B46" w:rsidRPr="00EF6B46" w:rsidRDefault="00EF6B46" w:rsidP="00EF6B46">
      <w:pPr>
        <w:rPr>
          <w:rFonts w:ascii="Cambria" w:hAnsi="Cambria"/>
          <w:sz w:val="20"/>
          <w:szCs w:val="20"/>
          <w:lang w:val="es-PE"/>
        </w:rPr>
      </w:pPr>
    </w:p>
    <w:p w14:paraId="763A5B54" w14:textId="77777777" w:rsidR="00EF6B46" w:rsidRPr="00EF6B46" w:rsidRDefault="00EF6B46" w:rsidP="00EF6B46">
      <w:pPr>
        <w:tabs>
          <w:tab w:val="left" w:pos="0"/>
        </w:tabs>
        <w:ind w:left="5040" w:firstLine="720"/>
        <w:jc w:val="center"/>
        <w:rPr>
          <w:rFonts w:ascii="Cambria" w:hAnsi="Cambria" w:cs="Arial"/>
          <w:sz w:val="20"/>
          <w:szCs w:val="20"/>
          <w:lang w:val="es-CO"/>
        </w:rPr>
      </w:pPr>
    </w:p>
    <w:p w14:paraId="37CEA8CA" w14:textId="77777777" w:rsidR="00EF6B46" w:rsidRPr="00EF6B46" w:rsidRDefault="00EF6B46" w:rsidP="00EF6B46">
      <w:pPr>
        <w:tabs>
          <w:tab w:val="left" w:pos="-720"/>
        </w:tabs>
        <w:ind w:left="4500"/>
        <w:rPr>
          <w:rFonts w:ascii="Cambria" w:hAnsi="Cambria" w:cs="Arial"/>
          <w:sz w:val="20"/>
          <w:szCs w:val="20"/>
          <w:lang w:val="es-CO"/>
        </w:rPr>
      </w:pPr>
      <w:r w:rsidRPr="00EF6B46">
        <w:rPr>
          <w:rFonts w:ascii="Cambria" w:hAnsi="Cambria" w:cs="Arial"/>
          <w:sz w:val="20"/>
          <w:szCs w:val="20"/>
          <w:lang w:val="es-CO"/>
        </w:rPr>
        <w:t>Marisol Blanchard</w:t>
      </w:r>
    </w:p>
    <w:p w14:paraId="1F5CA7B6" w14:textId="2EAD0AEE" w:rsidR="00A35B52" w:rsidRPr="00EF6B46" w:rsidRDefault="00EF6B46" w:rsidP="00EF6B46">
      <w:pPr>
        <w:tabs>
          <w:tab w:val="left" w:pos="-720"/>
          <w:tab w:val="left" w:pos="5760"/>
        </w:tabs>
        <w:rPr>
          <w:rFonts w:asciiTheme="majorHAnsi" w:hAnsiTheme="majorHAnsi"/>
          <w:b/>
          <w:sz w:val="20"/>
          <w:szCs w:val="20"/>
          <w:lang w:val="es-PE"/>
        </w:rPr>
      </w:pPr>
      <w:r w:rsidRPr="00EF6B46">
        <w:rPr>
          <w:rFonts w:ascii="Cambria" w:hAnsi="Cambria" w:cs="Arial"/>
          <w:sz w:val="20"/>
          <w:szCs w:val="20"/>
          <w:lang w:val="es-CO"/>
        </w:rPr>
        <w:t xml:space="preserve">                                                                             </w:t>
      </w:r>
      <w:r w:rsidRPr="00EF6B46">
        <w:rPr>
          <w:rFonts w:ascii="Cambria" w:hAnsi="Cambria" w:cs="Arial"/>
          <w:sz w:val="20"/>
          <w:szCs w:val="20"/>
          <w:lang w:val="es-PE"/>
        </w:rPr>
        <w:t>Jefa de Gabinete de la Secretaría Ejecutiva</w:t>
      </w:r>
    </w:p>
    <w:sectPr w:rsidR="00A35B52" w:rsidRPr="00EF6B46" w:rsidSect="00403941">
      <w:type w:val="oddPage"/>
      <w:pgSz w:w="12240" w:h="15840"/>
      <w:pgMar w:top="1440" w:right="135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6EB0A" w14:textId="77777777" w:rsidR="001050CB" w:rsidRDefault="001050CB">
      <w:r>
        <w:separator/>
      </w:r>
    </w:p>
  </w:endnote>
  <w:endnote w:type="continuationSeparator" w:id="0">
    <w:p w14:paraId="11A3CEBC" w14:textId="77777777" w:rsidR="001050CB" w:rsidRDefault="0010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Universal">
    <w:altName w:val="Courier New"/>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7890421"/>
      <w:docPartObj>
        <w:docPartGallery w:val="Page Numbers (Bottom of Page)"/>
        <w:docPartUnique/>
      </w:docPartObj>
    </w:sdtPr>
    <w:sdtEndPr>
      <w:rPr>
        <w:noProof/>
        <w:sz w:val="16"/>
        <w:szCs w:val="16"/>
      </w:rPr>
    </w:sdtEndPr>
    <w:sdtContent>
      <w:p w14:paraId="54C8491F" w14:textId="77777777" w:rsidR="001050CB" w:rsidRPr="00403941" w:rsidRDefault="001050CB">
        <w:pPr>
          <w:pStyle w:val="Footer"/>
          <w:jc w:val="center"/>
          <w:rPr>
            <w:sz w:val="16"/>
            <w:szCs w:val="16"/>
          </w:rPr>
        </w:pPr>
        <w:r w:rsidRPr="00403941">
          <w:rPr>
            <w:sz w:val="16"/>
            <w:szCs w:val="16"/>
          </w:rPr>
          <w:fldChar w:fldCharType="begin"/>
        </w:r>
        <w:r w:rsidRPr="00403941">
          <w:rPr>
            <w:sz w:val="16"/>
            <w:szCs w:val="16"/>
          </w:rPr>
          <w:instrText xml:space="preserve"> PAGE   \* MERGEFORMAT </w:instrText>
        </w:r>
        <w:r w:rsidRPr="00403941">
          <w:rPr>
            <w:sz w:val="16"/>
            <w:szCs w:val="16"/>
          </w:rPr>
          <w:fldChar w:fldCharType="separate"/>
        </w:r>
        <w:r w:rsidR="00386D63">
          <w:rPr>
            <w:noProof/>
            <w:sz w:val="16"/>
            <w:szCs w:val="16"/>
          </w:rPr>
          <w:t>23</w:t>
        </w:r>
        <w:r w:rsidRPr="00403941">
          <w:rPr>
            <w:noProof/>
            <w:sz w:val="16"/>
            <w:szCs w:val="16"/>
          </w:rPr>
          <w:fldChar w:fldCharType="end"/>
        </w:r>
      </w:p>
    </w:sdtContent>
  </w:sdt>
  <w:p w14:paraId="22AA1915" w14:textId="77777777" w:rsidR="001050CB" w:rsidRDefault="001050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2C8AD" w14:textId="77777777" w:rsidR="001050CB" w:rsidRPr="00934A2C" w:rsidRDefault="001050CB">
    <w:pPr>
      <w:pStyle w:val="Footer"/>
      <w:jc w:val="center"/>
      <w:rPr>
        <w:sz w:val="16"/>
        <w:szCs w:val="22"/>
      </w:rPr>
    </w:pPr>
  </w:p>
  <w:p w14:paraId="0B9958F6" w14:textId="77777777" w:rsidR="001050CB" w:rsidRDefault="00105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41161" w14:textId="77777777" w:rsidR="001050CB" w:rsidRDefault="001050CB">
      <w:r>
        <w:separator/>
      </w:r>
    </w:p>
  </w:footnote>
  <w:footnote w:type="continuationSeparator" w:id="0">
    <w:p w14:paraId="526DFEAE" w14:textId="77777777" w:rsidR="001050CB" w:rsidRDefault="001050CB">
      <w:r>
        <w:continuationSeparator/>
      </w:r>
    </w:p>
  </w:footnote>
  <w:footnote w:type="continuationNotice" w:id="1">
    <w:p w14:paraId="32429D5B" w14:textId="77777777" w:rsidR="001050CB" w:rsidRDefault="001050CB"/>
  </w:footnote>
  <w:footnote w:id="2">
    <w:p w14:paraId="4BAC2AA4" w14:textId="77777777" w:rsidR="001050CB" w:rsidRPr="00BE6681" w:rsidRDefault="001050CB" w:rsidP="007E7A78">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sidRPr="00BE6681">
        <w:rPr>
          <w:rFonts w:asciiTheme="majorHAnsi" w:hAnsiTheme="majorHAnsi"/>
          <w:sz w:val="16"/>
          <w:szCs w:val="16"/>
          <w:lang w:val="es-CO"/>
        </w:rPr>
        <w:t xml:space="preserve"> Constitución Política del Perú.</w:t>
      </w:r>
    </w:p>
  </w:footnote>
  <w:footnote w:id="3">
    <w:p w14:paraId="26ECAE25" w14:textId="77777777" w:rsidR="001050CB" w:rsidRPr="00BE6681" w:rsidRDefault="001050CB" w:rsidP="007E7A78">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sidRPr="00BE6681">
        <w:rPr>
          <w:rFonts w:asciiTheme="majorHAnsi" w:hAnsiTheme="majorHAnsi"/>
          <w:sz w:val="16"/>
          <w:szCs w:val="16"/>
          <w:lang w:val="es-CO"/>
        </w:rPr>
        <w:t xml:space="preserve"> Constitución Política del Perú.</w:t>
      </w:r>
    </w:p>
  </w:footnote>
  <w:footnote w:id="4">
    <w:p w14:paraId="60E18FBD" w14:textId="77777777" w:rsidR="001050CB" w:rsidRPr="00BE6681" w:rsidRDefault="001050CB" w:rsidP="007E7A78">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sidRPr="00BE6681">
        <w:rPr>
          <w:rFonts w:asciiTheme="majorHAnsi" w:hAnsiTheme="majorHAnsi"/>
          <w:sz w:val="16"/>
          <w:szCs w:val="16"/>
          <w:lang w:val="es-CO"/>
        </w:rPr>
        <w:t xml:space="preserve"> Ley Orgánica del Consejo Nacional de la Magistratura, Ley No. 26397.</w:t>
      </w:r>
    </w:p>
  </w:footnote>
  <w:footnote w:id="5">
    <w:p w14:paraId="48543EBE" w14:textId="77777777" w:rsidR="001050CB" w:rsidRPr="00BE6681" w:rsidRDefault="001050CB" w:rsidP="007E7A78">
      <w:pPr>
        <w:pStyle w:val="FootnoteText"/>
        <w:tabs>
          <w:tab w:val="left" w:pos="90"/>
        </w:tabs>
        <w:jc w:val="both"/>
        <w:rPr>
          <w:rFonts w:asciiTheme="majorHAnsi" w:hAnsiTheme="majorHAnsi"/>
          <w:sz w:val="16"/>
          <w:szCs w:val="16"/>
          <w:lang w:val="es-CO"/>
        </w:rPr>
      </w:pPr>
      <w:r w:rsidRPr="00BE6681">
        <w:rPr>
          <w:rStyle w:val="FootnoteReference"/>
          <w:rFonts w:asciiTheme="majorHAnsi" w:hAnsiTheme="majorHAnsi"/>
          <w:sz w:val="16"/>
          <w:szCs w:val="16"/>
        </w:rPr>
        <w:footnoteRef/>
      </w:r>
      <w:r w:rsidRPr="00BE6681">
        <w:rPr>
          <w:rFonts w:asciiTheme="majorHAnsi" w:hAnsiTheme="majorHAnsi"/>
          <w:sz w:val="16"/>
          <w:szCs w:val="16"/>
          <w:lang w:val="es-CO"/>
        </w:rPr>
        <w:t xml:space="preserve"> Petición inicial de 11 de noviembre de 1998.</w:t>
      </w:r>
    </w:p>
  </w:footnote>
  <w:footnote w:id="6">
    <w:p w14:paraId="62F7ED3E" w14:textId="5557376F" w:rsidR="001050CB" w:rsidRPr="00BE6681" w:rsidRDefault="001050CB" w:rsidP="007E7A78">
      <w:pPr>
        <w:pStyle w:val="FootnoteText"/>
        <w:tabs>
          <w:tab w:val="left" w:pos="90"/>
        </w:tabs>
        <w:jc w:val="both"/>
        <w:rPr>
          <w:rFonts w:asciiTheme="majorHAnsi" w:hAnsiTheme="majorHAnsi"/>
          <w:sz w:val="16"/>
          <w:szCs w:val="16"/>
          <w:lang w:val="es-CO"/>
        </w:rPr>
      </w:pPr>
      <w:r w:rsidRPr="00BE6681">
        <w:rPr>
          <w:rStyle w:val="FootnoteReference"/>
          <w:rFonts w:asciiTheme="majorHAnsi" w:hAnsiTheme="majorHAnsi"/>
          <w:sz w:val="16"/>
          <w:szCs w:val="16"/>
        </w:rPr>
        <w:footnoteRef/>
      </w:r>
      <w:r w:rsidRPr="00BE6681">
        <w:rPr>
          <w:rFonts w:asciiTheme="majorHAnsi" w:hAnsiTheme="majorHAnsi"/>
          <w:sz w:val="16"/>
          <w:szCs w:val="16"/>
          <w:lang w:val="es-CO"/>
        </w:rPr>
        <w:t xml:space="preserve"> Petición ini</w:t>
      </w:r>
      <w:r>
        <w:rPr>
          <w:rFonts w:asciiTheme="majorHAnsi" w:hAnsiTheme="majorHAnsi"/>
          <w:sz w:val="16"/>
          <w:szCs w:val="16"/>
          <w:lang w:val="es-CO"/>
        </w:rPr>
        <w:t>cial de 11 de noviembre de 1998;  Anexo 1</w:t>
      </w:r>
      <w:r w:rsidRPr="00BE6681">
        <w:rPr>
          <w:rFonts w:asciiTheme="majorHAnsi" w:hAnsiTheme="majorHAnsi"/>
          <w:sz w:val="16"/>
          <w:szCs w:val="16"/>
          <w:lang w:val="es-CO"/>
        </w:rPr>
        <w:t>. Resolución administrativa No. 025-94-PCSJH de 15 de noviembre de 1994 de la Corte Superior de Justicia de Huánuco. Anexo al escrito del Estado de 22 de julio de 2013.</w:t>
      </w:r>
    </w:p>
  </w:footnote>
  <w:footnote w:id="7">
    <w:p w14:paraId="5C5544C7" w14:textId="7A9CB0F0" w:rsidR="001050CB" w:rsidRPr="00BE6681" w:rsidRDefault="001050CB" w:rsidP="007E7A78">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2</w:t>
      </w:r>
      <w:r w:rsidRPr="00BE6681">
        <w:rPr>
          <w:rFonts w:asciiTheme="majorHAnsi" w:hAnsiTheme="majorHAnsi"/>
          <w:sz w:val="16"/>
          <w:szCs w:val="16"/>
          <w:lang w:val="es-CO"/>
        </w:rPr>
        <w:t>. Oficio No. 3755-95-PCSJ, 22 de junio de 1995. Anexo al escrito del Estado de 22 de julio de 2013.</w:t>
      </w:r>
    </w:p>
  </w:footnote>
  <w:footnote w:id="8">
    <w:p w14:paraId="4E3C7DA7" w14:textId="1E27FC37" w:rsidR="001050CB" w:rsidRPr="00BE6681" w:rsidRDefault="001050CB" w:rsidP="007E7A78">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3</w:t>
      </w:r>
      <w:r w:rsidRPr="00BE6681">
        <w:rPr>
          <w:rFonts w:asciiTheme="majorHAnsi" w:hAnsiTheme="majorHAnsi"/>
          <w:sz w:val="16"/>
          <w:szCs w:val="16"/>
          <w:lang w:val="es-CO"/>
        </w:rPr>
        <w:t>. Consejo Nacional de la Magistratura, Resolución No. 008-96-PCNM de 14 de agosto de 1996. Anexo a la petición inicial de 11 de noviembre de 1998.</w:t>
      </w:r>
    </w:p>
  </w:footnote>
  <w:footnote w:id="9">
    <w:p w14:paraId="01AD5713" w14:textId="1F4AA929" w:rsidR="001050CB" w:rsidRPr="00BE6681" w:rsidRDefault="001050CB" w:rsidP="007E7A78">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3</w:t>
      </w:r>
      <w:r w:rsidRPr="00BE6681">
        <w:rPr>
          <w:rFonts w:asciiTheme="majorHAnsi" w:hAnsiTheme="majorHAnsi"/>
          <w:sz w:val="16"/>
          <w:szCs w:val="16"/>
          <w:lang w:val="es-CO"/>
        </w:rPr>
        <w:t>. Consejo Nacional de la Magistratura, Resolución No. 008-96-PCNM de 14 de agosto de 1996. Anexo a la petición inicial de 11 de noviembre de 1998.</w:t>
      </w:r>
    </w:p>
  </w:footnote>
  <w:footnote w:id="10">
    <w:p w14:paraId="71F21A7D" w14:textId="006D6FE7" w:rsidR="001050CB" w:rsidRPr="00BE6681" w:rsidRDefault="001050CB" w:rsidP="007E7A78">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4</w:t>
      </w:r>
      <w:r w:rsidRPr="00BE6681">
        <w:rPr>
          <w:rFonts w:asciiTheme="majorHAnsi" w:hAnsiTheme="majorHAnsi"/>
          <w:sz w:val="16"/>
          <w:szCs w:val="16"/>
          <w:lang w:val="es-CO"/>
        </w:rPr>
        <w:t>. Oficina de Control de la Magistratura del Poder Judicial, Informe de 3 de agosto de 1995. Anexo al escrito del Estado de 22 de julio de 2013.</w:t>
      </w:r>
    </w:p>
  </w:footnote>
  <w:footnote w:id="11">
    <w:p w14:paraId="6FEF1C27" w14:textId="4BDA05D8" w:rsidR="001050CB" w:rsidRPr="00BE6681" w:rsidRDefault="001050CB" w:rsidP="007E7A78">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5</w:t>
      </w:r>
      <w:r w:rsidRPr="00BE6681">
        <w:rPr>
          <w:rFonts w:asciiTheme="majorHAnsi" w:hAnsiTheme="majorHAnsi"/>
          <w:sz w:val="16"/>
          <w:szCs w:val="16"/>
          <w:lang w:val="es-CO"/>
        </w:rPr>
        <w:t>. Corte Superior de Justicia de Huánuco, Sentencia de 24 de septiembre de 1999. Anexo al escrito del Estado de 30 de julio de 2008.</w:t>
      </w:r>
    </w:p>
  </w:footnote>
  <w:footnote w:id="12">
    <w:p w14:paraId="431806EB" w14:textId="5037DF67"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3</w:t>
      </w:r>
      <w:r w:rsidRPr="00BE6681">
        <w:rPr>
          <w:rFonts w:asciiTheme="majorHAnsi" w:hAnsiTheme="majorHAnsi"/>
          <w:sz w:val="16"/>
          <w:szCs w:val="16"/>
          <w:lang w:val="es-CO"/>
        </w:rPr>
        <w:t xml:space="preserve">. Consejo Nacional de la Magistratura, Resolución No. 008-96-PCNM de 14 de agosto de 1996. Anexo a la petición inicial de 11 de noviembre de 1998. </w:t>
      </w:r>
    </w:p>
  </w:footnote>
  <w:footnote w:id="13">
    <w:p w14:paraId="0BCE3DDD" w14:textId="0797F704"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3</w:t>
      </w:r>
      <w:r w:rsidRPr="00BE6681">
        <w:rPr>
          <w:rFonts w:asciiTheme="majorHAnsi" w:hAnsiTheme="majorHAnsi"/>
          <w:sz w:val="16"/>
          <w:szCs w:val="16"/>
          <w:lang w:val="es-CO"/>
        </w:rPr>
        <w:t>. Consejo Nacional de la Magistratura, Resolución No. 008-96-PCNM de 14 de agosto de 1996. Anexo a la petición inicial de 11 de noviembre de 1998.</w:t>
      </w:r>
    </w:p>
  </w:footnote>
  <w:footnote w:id="14">
    <w:p w14:paraId="02280E9F" w14:textId="7E4081FA"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4</w:t>
      </w:r>
      <w:r w:rsidRPr="00BE6681">
        <w:rPr>
          <w:rFonts w:asciiTheme="majorHAnsi" w:hAnsiTheme="majorHAnsi"/>
          <w:sz w:val="16"/>
          <w:szCs w:val="16"/>
          <w:lang w:val="es-CO"/>
        </w:rPr>
        <w:t>. Oficina de Control de la Magistratura del Poder Judicial, Informe de 3 de agosto de 1995. Anexo al escrito del Estado de 22 de julio de 2013.</w:t>
      </w:r>
    </w:p>
  </w:footnote>
  <w:footnote w:id="15">
    <w:p w14:paraId="55C59A3D" w14:textId="6A76FCCF"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4</w:t>
      </w:r>
      <w:r w:rsidRPr="00BE6681">
        <w:rPr>
          <w:rFonts w:asciiTheme="majorHAnsi" w:hAnsiTheme="majorHAnsi"/>
          <w:sz w:val="16"/>
          <w:szCs w:val="16"/>
          <w:lang w:val="es-CO"/>
        </w:rPr>
        <w:t>. Oficina de Control de la Magistratura del Poder Judicial, Informe de 3 de agosto de 1995. Anexo al escrito del Estado de 22 de julio de 2013.</w:t>
      </w:r>
    </w:p>
  </w:footnote>
  <w:footnote w:id="16">
    <w:p w14:paraId="18BB0403" w14:textId="137FDD47"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4</w:t>
      </w:r>
      <w:r w:rsidRPr="00BE6681">
        <w:rPr>
          <w:rFonts w:asciiTheme="majorHAnsi" w:hAnsiTheme="majorHAnsi"/>
          <w:sz w:val="16"/>
          <w:szCs w:val="16"/>
          <w:lang w:val="es-CO"/>
        </w:rPr>
        <w:t>. Oficina de Control de la Magistratura del Poder Judicial, Informe de 3 de agosto de 1995. Anexo al escrito del Estado de 22 de julio de 2013.</w:t>
      </w:r>
    </w:p>
  </w:footnote>
  <w:footnote w:id="17">
    <w:p w14:paraId="59959625" w14:textId="544C9FD0"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6</w:t>
      </w:r>
      <w:r w:rsidRPr="00BE6681">
        <w:rPr>
          <w:rFonts w:asciiTheme="majorHAnsi" w:hAnsiTheme="majorHAnsi"/>
          <w:sz w:val="16"/>
          <w:szCs w:val="16"/>
          <w:lang w:val="es-CO"/>
        </w:rPr>
        <w:t>. Consejo Ejecutivo del Poder Judicial, Acuerdo de 18 de octubre de 1995. Anexo al escrito del Estado de 28 de septiembre de 2012.</w:t>
      </w:r>
    </w:p>
  </w:footnote>
  <w:footnote w:id="18">
    <w:p w14:paraId="5AADE5FA" w14:textId="7E4318A2"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7</w:t>
      </w:r>
      <w:r w:rsidRPr="00BE6681">
        <w:rPr>
          <w:rFonts w:asciiTheme="majorHAnsi" w:hAnsiTheme="majorHAnsi"/>
          <w:sz w:val="16"/>
          <w:szCs w:val="16"/>
          <w:lang w:val="es-CO"/>
        </w:rPr>
        <w:t>. Escrito de descargos, 1 de diciembre de 1995. Anexo al escrito del Estado de 28 de septiembre de 2012.</w:t>
      </w:r>
    </w:p>
  </w:footnote>
  <w:footnote w:id="19">
    <w:p w14:paraId="5C5C8E2C" w14:textId="029ADD4E"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7</w:t>
      </w:r>
      <w:r w:rsidRPr="00BE6681">
        <w:rPr>
          <w:rFonts w:asciiTheme="majorHAnsi" w:hAnsiTheme="majorHAnsi"/>
          <w:sz w:val="16"/>
          <w:szCs w:val="16"/>
          <w:lang w:val="es-CO"/>
        </w:rPr>
        <w:t>. Escrito de descargos, 1 de diciembre de 1995. Anexo al escrito del Estado de 28 de septiembre de 2012.</w:t>
      </w:r>
    </w:p>
  </w:footnote>
  <w:footnote w:id="20">
    <w:p w14:paraId="65C70C78" w14:textId="272C788C"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8</w:t>
      </w:r>
      <w:r w:rsidRPr="00BE6681">
        <w:rPr>
          <w:rFonts w:asciiTheme="majorHAnsi" w:hAnsiTheme="majorHAnsi"/>
          <w:sz w:val="16"/>
          <w:szCs w:val="16"/>
          <w:lang w:val="es-CO"/>
        </w:rPr>
        <w:t>. Escrito de ampliación de descargos, 11 de diciembre de 1995. Anexo al escrito del Estado de 28 de septiembre de 2012.</w:t>
      </w:r>
    </w:p>
  </w:footnote>
  <w:footnote w:id="21">
    <w:p w14:paraId="2036334F" w14:textId="7DA38164"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9</w:t>
      </w:r>
      <w:r w:rsidRPr="00BE6681">
        <w:rPr>
          <w:rFonts w:asciiTheme="majorHAnsi" w:hAnsiTheme="majorHAnsi"/>
          <w:sz w:val="16"/>
          <w:szCs w:val="16"/>
          <w:lang w:val="es-CO"/>
        </w:rPr>
        <w:t>. Consejo Nacional de la Magistratura, Resolución No. 051-96-CNM de 14 de mayo de 1996. Anexo al escrito del Estado de 28 de septiembre de 2012.</w:t>
      </w:r>
    </w:p>
  </w:footnote>
  <w:footnote w:id="22">
    <w:p w14:paraId="5A5B1DC3" w14:textId="12BE42C5"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10</w:t>
      </w:r>
      <w:r w:rsidRPr="00BE6681">
        <w:rPr>
          <w:rFonts w:asciiTheme="majorHAnsi" w:hAnsiTheme="majorHAnsi"/>
          <w:sz w:val="16"/>
          <w:szCs w:val="16"/>
          <w:lang w:val="es-CO"/>
        </w:rPr>
        <w:t>. Escrito de descargos, 27 de mayo de 1996. Anexo al escrito del Estado de 28 de septiembre de 2012.</w:t>
      </w:r>
    </w:p>
  </w:footnote>
  <w:footnote w:id="23">
    <w:p w14:paraId="7491A74A" w14:textId="0BE06BEB"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10</w:t>
      </w:r>
      <w:r w:rsidRPr="00BE6681">
        <w:rPr>
          <w:rFonts w:asciiTheme="majorHAnsi" w:hAnsiTheme="majorHAnsi"/>
          <w:sz w:val="16"/>
          <w:szCs w:val="16"/>
          <w:lang w:val="es-CO"/>
        </w:rPr>
        <w:t>. Escrito de descargos, 27 de mayo de 1996. Anexo al escrito del Estado de 28 de septiembre de 2012.</w:t>
      </w:r>
    </w:p>
  </w:footnote>
  <w:footnote w:id="24">
    <w:p w14:paraId="12CBBFD7" w14:textId="54C9EDF7"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10</w:t>
      </w:r>
      <w:r w:rsidRPr="00BE6681">
        <w:rPr>
          <w:rFonts w:asciiTheme="majorHAnsi" w:hAnsiTheme="majorHAnsi"/>
          <w:sz w:val="16"/>
          <w:szCs w:val="16"/>
          <w:lang w:val="es-CO"/>
        </w:rPr>
        <w:t>. Escrito de descargos, 27 de mayo de 1996. Anexo al escrito del Estado de 28 de septiembre de 2012.</w:t>
      </w:r>
    </w:p>
  </w:footnote>
  <w:footnote w:id="25">
    <w:p w14:paraId="2D8B5B9F" w14:textId="720CDB3F"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3.</w:t>
      </w:r>
      <w:r w:rsidRPr="00BE6681">
        <w:rPr>
          <w:rFonts w:asciiTheme="majorHAnsi" w:hAnsiTheme="majorHAnsi"/>
          <w:sz w:val="16"/>
          <w:szCs w:val="16"/>
          <w:lang w:val="es-CO"/>
        </w:rPr>
        <w:t xml:space="preserve"> Consejo Nacional de la Magistratura, Resolución No. 008-96-PCNM de 14 de agosto de 1996. Anexo a la petición inicial de 11 de noviembre de 1998.</w:t>
      </w:r>
    </w:p>
  </w:footnote>
  <w:footnote w:id="26">
    <w:p w14:paraId="5646A54C" w14:textId="6A744D69"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3</w:t>
      </w:r>
      <w:r w:rsidRPr="00BE6681">
        <w:rPr>
          <w:rFonts w:asciiTheme="majorHAnsi" w:hAnsiTheme="majorHAnsi"/>
          <w:sz w:val="16"/>
          <w:szCs w:val="16"/>
          <w:lang w:val="es-CO"/>
        </w:rPr>
        <w:t>. Consejo Nacional de la Magistratura, Resolución No. 008-96-PCNM de 14 de agosto de 1996. Anexo a la petición inicial de11 de noviembre de 1998.</w:t>
      </w:r>
    </w:p>
  </w:footnote>
  <w:footnote w:id="27">
    <w:p w14:paraId="6F4039D6" w14:textId="2CA590BC"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3</w:t>
      </w:r>
      <w:r w:rsidRPr="00BE6681">
        <w:rPr>
          <w:rFonts w:asciiTheme="majorHAnsi" w:hAnsiTheme="majorHAnsi"/>
          <w:sz w:val="16"/>
          <w:szCs w:val="16"/>
          <w:lang w:val="es-CO"/>
        </w:rPr>
        <w:t>. Consejo Nacional de la Magistratura, Resolución No. 008-96-PCNM de 14 de agosto de 1996. Anexo a la petición inicial de 11 de noviembre de 1998.</w:t>
      </w:r>
    </w:p>
  </w:footnote>
  <w:footnote w:id="28">
    <w:p w14:paraId="0DF7AFCC" w14:textId="16753668"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3</w:t>
      </w:r>
      <w:r w:rsidRPr="00BE6681">
        <w:rPr>
          <w:rFonts w:asciiTheme="majorHAnsi" w:hAnsiTheme="majorHAnsi"/>
          <w:sz w:val="16"/>
          <w:szCs w:val="16"/>
          <w:lang w:val="es-CO"/>
        </w:rPr>
        <w:t>. Consejo Nacional de la Magistratura, Resolución No. 008-96-PCNM de 14 de agosto de 1996. Anexo a la petición inicial de 11 de noviembre de 1998.</w:t>
      </w:r>
    </w:p>
  </w:footnote>
  <w:footnote w:id="29">
    <w:p w14:paraId="721FCBB2" w14:textId="03DC60CB"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11</w:t>
      </w:r>
      <w:r w:rsidRPr="00BE6681">
        <w:rPr>
          <w:rFonts w:asciiTheme="majorHAnsi" w:hAnsiTheme="majorHAnsi"/>
          <w:sz w:val="16"/>
          <w:szCs w:val="16"/>
          <w:lang w:val="es-CO"/>
        </w:rPr>
        <w:t>. Demanda de acción de amparo ante el Juzgado Especializado en Derecho Público, 6 de septiembre de 1996. Anexo a la petición inicial de 11 de noviembre de 1998.</w:t>
      </w:r>
    </w:p>
  </w:footnote>
  <w:footnote w:id="30">
    <w:p w14:paraId="48D65A68" w14:textId="235E52B1"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11</w:t>
      </w:r>
      <w:r w:rsidRPr="00BE6681">
        <w:rPr>
          <w:rFonts w:asciiTheme="majorHAnsi" w:hAnsiTheme="majorHAnsi"/>
          <w:sz w:val="16"/>
          <w:szCs w:val="16"/>
          <w:lang w:val="es-CO"/>
        </w:rPr>
        <w:t>. Demanda de acción de amparo ante el Juzgado Especializado en Derecho Público, 6 de septiembre de 1996. Anexo a la petición inicial de 11 de noviembre de 1998.</w:t>
      </w:r>
    </w:p>
  </w:footnote>
  <w:footnote w:id="31">
    <w:p w14:paraId="6257339A" w14:textId="32CA003F"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11</w:t>
      </w:r>
      <w:r w:rsidRPr="00BE6681">
        <w:rPr>
          <w:rFonts w:asciiTheme="majorHAnsi" w:hAnsiTheme="majorHAnsi"/>
          <w:sz w:val="16"/>
          <w:szCs w:val="16"/>
          <w:lang w:val="es-CO"/>
        </w:rPr>
        <w:t>. Demanda de acción de amparo ante el Juzgado Especializado en Derecho Público, 6 de septiembre de 1996. Anexo a la petición inicial de 11 de noviembre de 1998.</w:t>
      </w:r>
    </w:p>
  </w:footnote>
  <w:footnote w:id="32">
    <w:p w14:paraId="46638365" w14:textId="2286D51E"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11</w:t>
      </w:r>
      <w:r w:rsidRPr="00BE6681">
        <w:rPr>
          <w:rFonts w:asciiTheme="majorHAnsi" w:hAnsiTheme="majorHAnsi"/>
          <w:sz w:val="16"/>
          <w:szCs w:val="16"/>
          <w:lang w:val="es-CO"/>
        </w:rPr>
        <w:t>. Demanda de acción de amparo ante el Juzgado Especializado en Derecho Público, 6 de septiembre de 1996. Anexo a la petición inicial de 11 de noviembre de 1998.</w:t>
      </w:r>
    </w:p>
  </w:footnote>
  <w:footnote w:id="33">
    <w:p w14:paraId="72B49B78" w14:textId="1FBDCB68"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11</w:t>
      </w:r>
      <w:r w:rsidRPr="00BE6681">
        <w:rPr>
          <w:rFonts w:asciiTheme="majorHAnsi" w:hAnsiTheme="majorHAnsi"/>
          <w:sz w:val="16"/>
          <w:szCs w:val="16"/>
          <w:lang w:val="es-CO"/>
        </w:rPr>
        <w:t>. Demanda de acción de amparo ante el Juzgado Especializado en Derecho Público, 6 de septiembre de 1996. Anexo a la petición inicial de 11 de noviembre de 1998.</w:t>
      </w:r>
    </w:p>
  </w:footnote>
  <w:footnote w:id="34">
    <w:p w14:paraId="15BD4C5F" w14:textId="203EB211"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12</w:t>
      </w:r>
      <w:r w:rsidRPr="00BE6681">
        <w:rPr>
          <w:rFonts w:asciiTheme="majorHAnsi" w:hAnsiTheme="majorHAnsi"/>
          <w:sz w:val="16"/>
          <w:szCs w:val="16"/>
          <w:lang w:val="es-CO"/>
        </w:rPr>
        <w:t>. Juzgado de Derecho Público, Sentencia de 27 de noviembre de 1996. Anexo a la petición inicial de 11 de noviembre de 1998.</w:t>
      </w:r>
    </w:p>
  </w:footnote>
  <w:footnote w:id="35">
    <w:p w14:paraId="1A27A311" w14:textId="0EA60932"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12</w:t>
      </w:r>
      <w:r w:rsidRPr="00BE6681">
        <w:rPr>
          <w:rFonts w:asciiTheme="majorHAnsi" w:hAnsiTheme="majorHAnsi"/>
          <w:sz w:val="16"/>
          <w:szCs w:val="16"/>
          <w:lang w:val="es-CO"/>
        </w:rPr>
        <w:t>. Juzgado de Derecho Público, Sentencia de 27 de noviembre de 1996. Anexo a la petición inicial de 11 de noviembre de 1998.</w:t>
      </w:r>
    </w:p>
  </w:footnote>
  <w:footnote w:id="36">
    <w:p w14:paraId="7DA792BF" w14:textId="7533944B"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13</w:t>
      </w:r>
      <w:r w:rsidRPr="00BE6681">
        <w:rPr>
          <w:rFonts w:asciiTheme="majorHAnsi" w:hAnsiTheme="majorHAnsi"/>
          <w:sz w:val="16"/>
          <w:szCs w:val="16"/>
          <w:lang w:val="es-CO"/>
        </w:rPr>
        <w:t>. Sala Corporativa Transitoria Especializada en Derecho Público, Sentencia de 24 de septiembre de 1997. Anexo a la petición inicial de 11 de noviembre de 1998.</w:t>
      </w:r>
    </w:p>
  </w:footnote>
  <w:footnote w:id="37">
    <w:p w14:paraId="20B5A5D8" w14:textId="30D9A4B6"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14</w:t>
      </w:r>
      <w:r w:rsidRPr="00BE6681">
        <w:rPr>
          <w:rFonts w:asciiTheme="majorHAnsi" w:hAnsiTheme="majorHAnsi"/>
          <w:sz w:val="16"/>
          <w:szCs w:val="16"/>
          <w:lang w:val="es-CO"/>
        </w:rPr>
        <w:t>. Tribunal Constitucional, Sentencia de 8 de mayo de 1998. Anexo a la petición inicial de 11 de noviembre de 1998.</w:t>
      </w:r>
    </w:p>
  </w:footnote>
  <w:footnote w:id="38">
    <w:p w14:paraId="73A81E11" w14:textId="551EB2D9"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15</w:t>
      </w:r>
      <w:r w:rsidRPr="00BE6681">
        <w:rPr>
          <w:rFonts w:asciiTheme="majorHAnsi" w:hAnsiTheme="majorHAnsi"/>
          <w:sz w:val="16"/>
          <w:szCs w:val="16"/>
          <w:lang w:val="es-CO"/>
        </w:rPr>
        <w:t>. Recurso extraordinario, 31 de marzo de 1998. Anexo a la petición inicial de 11 de noviembre de 1998.</w:t>
      </w:r>
    </w:p>
  </w:footnote>
  <w:footnote w:id="39">
    <w:p w14:paraId="139660C6" w14:textId="5F0DC64B"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15</w:t>
      </w:r>
      <w:r w:rsidRPr="00BE6681">
        <w:rPr>
          <w:rFonts w:asciiTheme="majorHAnsi" w:hAnsiTheme="majorHAnsi"/>
          <w:sz w:val="16"/>
          <w:szCs w:val="16"/>
          <w:lang w:val="es-CO"/>
        </w:rPr>
        <w:t>. Recurso extraordinario, 31 de marzo de 1998. Anexo a la petición inicial de 11 de noviembre de 1998.</w:t>
      </w:r>
    </w:p>
  </w:footnote>
  <w:footnote w:id="40">
    <w:p w14:paraId="0B0B434E" w14:textId="60BC1790"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15</w:t>
      </w:r>
      <w:r w:rsidRPr="00BE6681">
        <w:rPr>
          <w:rFonts w:asciiTheme="majorHAnsi" w:hAnsiTheme="majorHAnsi"/>
          <w:sz w:val="16"/>
          <w:szCs w:val="16"/>
          <w:lang w:val="es-CO"/>
        </w:rPr>
        <w:t>. Recurso extraordinario, 31 de marzo de 1998. Anexo a la petición inicial de 11 de noviembre de 1998.</w:t>
      </w:r>
    </w:p>
  </w:footnote>
  <w:footnote w:id="41">
    <w:p w14:paraId="4A21C3BA" w14:textId="2AB38411"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15.</w:t>
      </w:r>
      <w:r w:rsidRPr="00BE6681">
        <w:rPr>
          <w:rFonts w:asciiTheme="majorHAnsi" w:hAnsiTheme="majorHAnsi"/>
          <w:sz w:val="16"/>
          <w:szCs w:val="16"/>
          <w:lang w:val="es-CO"/>
        </w:rPr>
        <w:t xml:space="preserve"> Recurso extraordinario, 31 de marzo de 1998. Anexo a la petición inicial de 11 de noviembre de 1998.</w:t>
      </w:r>
    </w:p>
  </w:footnote>
  <w:footnote w:id="42">
    <w:p w14:paraId="0C5E9FD9" w14:textId="26706473"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16.</w:t>
      </w:r>
      <w:r w:rsidRPr="00BE6681">
        <w:rPr>
          <w:rFonts w:asciiTheme="majorHAnsi" w:hAnsiTheme="majorHAnsi"/>
          <w:sz w:val="16"/>
          <w:szCs w:val="16"/>
          <w:lang w:val="es-CO"/>
        </w:rPr>
        <w:t xml:space="preserve"> Ampliación de recurso extraordinario, 16 de junio de 1998. Anexo a la petición inicial de 11 de noviembre de 1998.</w:t>
      </w:r>
    </w:p>
  </w:footnote>
  <w:footnote w:id="43">
    <w:p w14:paraId="2527032D" w14:textId="2987B376"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14</w:t>
      </w:r>
      <w:r w:rsidRPr="00BE6681">
        <w:rPr>
          <w:rFonts w:asciiTheme="majorHAnsi" w:hAnsiTheme="majorHAnsi"/>
          <w:sz w:val="16"/>
          <w:szCs w:val="16"/>
          <w:lang w:val="es-CO"/>
        </w:rPr>
        <w:t>. Tribunal Constitucional, Sentencia de 8 de mayo de 1998. Anexo a la petición inicial de 11 de noviembre de 1998.</w:t>
      </w:r>
    </w:p>
  </w:footnote>
  <w:footnote w:id="44">
    <w:p w14:paraId="31CB0A0C" w14:textId="7F8D83ED"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17</w:t>
      </w:r>
      <w:r w:rsidRPr="00BE6681">
        <w:rPr>
          <w:rFonts w:asciiTheme="majorHAnsi" w:hAnsiTheme="majorHAnsi"/>
          <w:sz w:val="16"/>
          <w:szCs w:val="16"/>
          <w:lang w:val="es-CO"/>
        </w:rPr>
        <w:t>. Comisión Ejecutiva del Ministerio Público, Resolución No. 702-97-MP-CEMP de 30 de julio de 1997. Anexo al escrito del Estado de 30 de julio de 2008.</w:t>
      </w:r>
    </w:p>
  </w:footnote>
  <w:footnote w:id="45">
    <w:p w14:paraId="554D38FD" w14:textId="36660C53"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17</w:t>
      </w:r>
      <w:r w:rsidRPr="00BE6681">
        <w:rPr>
          <w:rFonts w:asciiTheme="majorHAnsi" w:hAnsiTheme="majorHAnsi"/>
          <w:sz w:val="16"/>
          <w:szCs w:val="16"/>
          <w:lang w:val="es-CO"/>
        </w:rPr>
        <w:t>. Comisión Ejecutiva del Ministerio Público, Resolución No. 702-97-MP-CEMP de 30 de julio de 1997. Anexo al escrito del Estado de 30 de julio de 2008.</w:t>
      </w:r>
    </w:p>
  </w:footnote>
  <w:footnote w:id="46">
    <w:p w14:paraId="0E901875" w14:textId="1FEB8A6F"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18</w:t>
      </w:r>
      <w:r w:rsidRPr="00BE6681">
        <w:rPr>
          <w:rFonts w:asciiTheme="majorHAnsi" w:hAnsiTheme="majorHAnsi"/>
          <w:sz w:val="16"/>
          <w:szCs w:val="16"/>
          <w:lang w:val="es-CO"/>
        </w:rPr>
        <w:t xml:space="preserve">. Denuncia Penal contra Héctor Fidel Cordero Bernal, 30 de abril de 1998. Anexo a la petición inicial de 11 de noviembre de 1998. </w:t>
      </w:r>
    </w:p>
  </w:footnote>
  <w:footnote w:id="47">
    <w:p w14:paraId="4906EC1D" w14:textId="1B11DB6D"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19</w:t>
      </w:r>
      <w:r w:rsidRPr="00BE6681">
        <w:rPr>
          <w:rFonts w:asciiTheme="majorHAnsi" w:hAnsiTheme="majorHAnsi"/>
          <w:sz w:val="16"/>
          <w:szCs w:val="16"/>
          <w:lang w:val="es-CO"/>
        </w:rPr>
        <w:t>. Resolución de apertura de instrucción contra Héctor Fidel Cordero Bernal, 26 de mayo de 1998. Anexo a la petición inicial de 11 de noviembre de 1998.</w:t>
      </w:r>
    </w:p>
  </w:footnote>
  <w:footnote w:id="48">
    <w:p w14:paraId="299CE370" w14:textId="739F3CA1" w:rsidR="001050CB" w:rsidRPr="00BE6681" w:rsidRDefault="001050CB" w:rsidP="00536AF3">
      <w:pPr>
        <w:pStyle w:val="FootnoteText"/>
        <w:jc w:val="both"/>
        <w:rPr>
          <w:rFonts w:asciiTheme="majorHAnsi" w:hAnsiTheme="majorHAnsi"/>
          <w:sz w:val="16"/>
          <w:szCs w:val="16"/>
          <w:lang w:val="es-VE"/>
        </w:rPr>
      </w:pPr>
      <w:r w:rsidRPr="00BE6681">
        <w:rPr>
          <w:rStyle w:val="FootnoteReference"/>
          <w:rFonts w:asciiTheme="majorHAnsi" w:hAnsiTheme="majorHAnsi"/>
          <w:sz w:val="16"/>
          <w:szCs w:val="16"/>
        </w:rPr>
        <w:footnoteRef/>
      </w:r>
      <w:r>
        <w:rPr>
          <w:rFonts w:asciiTheme="majorHAnsi" w:hAnsiTheme="majorHAnsi"/>
          <w:sz w:val="16"/>
          <w:szCs w:val="16"/>
          <w:lang w:val="es-VE"/>
        </w:rPr>
        <w:t xml:space="preserve"> Anexo 20</w:t>
      </w:r>
      <w:r w:rsidRPr="00BE6681">
        <w:rPr>
          <w:rFonts w:asciiTheme="majorHAnsi" w:hAnsiTheme="majorHAnsi"/>
          <w:sz w:val="16"/>
          <w:szCs w:val="16"/>
          <w:lang w:val="es-VE"/>
        </w:rPr>
        <w:t>. Declaración instructiva de Héctor Fidel Cordero Bernal, 17 de junio de 1998. Anexo al escrito del Estado de 30 de julio de 2008.</w:t>
      </w:r>
    </w:p>
  </w:footnote>
  <w:footnote w:id="49">
    <w:p w14:paraId="02CDFD6F" w14:textId="493CAF0A"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21</w:t>
      </w:r>
      <w:r w:rsidRPr="00BE6681">
        <w:rPr>
          <w:rFonts w:asciiTheme="majorHAnsi" w:hAnsiTheme="majorHAnsi"/>
          <w:sz w:val="16"/>
          <w:szCs w:val="16"/>
          <w:lang w:val="es-CO"/>
        </w:rPr>
        <w:t>. Excepción de naturaleza de la acción, 18 de junio de 1998. Anexo al escrito del Estado de 30 de julio de 2008.</w:t>
      </w:r>
    </w:p>
  </w:footnote>
  <w:footnote w:id="50">
    <w:p w14:paraId="33803237" w14:textId="0B7F62B9"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21</w:t>
      </w:r>
      <w:r w:rsidRPr="00BE6681">
        <w:rPr>
          <w:rFonts w:asciiTheme="majorHAnsi" w:hAnsiTheme="majorHAnsi"/>
          <w:sz w:val="16"/>
          <w:szCs w:val="16"/>
          <w:lang w:val="es-CO"/>
        </w:rPr>
        <w:t>. Excepción de naturaleza de la acción, 18 de junio de 1998. Anexo al escrito del Estado de 30 de julio de 2008.</w:t>
      </w:r>
    </w:p>
  </w:footnote>
  <w:footnote w:id="51">
    <w:p w14:paraId="581325DF" w14:textId="178375A7" w:rsidR="001050CB" w:rsidRPr="00BE6681" w:rsidRDefault="001050CB" w:rsidP="00536AF3">
      <w:pPr>
        <w:pStyle w:val="FootnoteText"/>
        <w:jc w:val="both"/>
        <w:rPr>
          <w:rFonts w:asciiTheme="majorHAnsi" w:hAnsiTheme="majorHAnsi"/>
          <w:sz w:val="16"/>
          <w:szCs w:val="16"/>
          <w:lang w:val="es-VE"/>
        </w:rPr>
      </w:pPr>
      <w:r w:rsidRPr="00BE6681">
        <w:rPr>
          <w:rStyle w:val="FootnoteReference"/>
          <w:rFonts w:asciiTheme="majorHAnsi" w:hAnsiTheme="majorHAnsi"/>
          <w:sz w:val="16"/>
          <w:szCs w:val="16"/>
        </w:rPr>
        <w:footnoteRef/>
      </w:r>
      <w:r>
        <w:rPr>
          <w:rFonts w:asciiTheme="majorHAnsi" w:hAnsiTheme="majorHAnsi"/>
          <w:sz w:val="16"/>
          <w:szCs w:val="16"/>
          <w:lang w:val="es-VE"/>
        </w:rPr>
        <w:t xml:space="preserve"> Anexo 22</w:t>
      </w:r>
      <w:r w:rsidRPr="00BE6681">
        <w:rPr>
          <w:rFonts w:asciiTheme="majorHAnsi" w:hAnsiTheme="majorHAnsi"/>
          <w:sz w:val="16"/>
          <w:szCs w:val="16"/>
          <w:lang w:val="es-VE"/>
        </w:rPr>
        <w:t>. Declaración instructiva de Héctor Fidel Cordero Bernal, 23 de junio de 1998. Anexo al escrito del Estado de 30 de julio de 2008.</w:t>
      </w:r>
    </w:p>
  </w:footnote>
  <w:footnote w:id="52">
    <w:p w14:paraId="71A0CE33" w14:textId="03F90C76"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23</w:t>
      </w:r>
      <w:r w:rsidRPr="00BE6681">
        <w:rPr>
          <w:rFonts w:asciiTheme="majorHAnsi" w:hAnsiTheme="majorHAnsi"/>
          <w:sz w:val="16"/>
          <w:szCs w:val="16"/>
          <w:lang w:val="es-CO"/>
        </w:rPr>
        <w:t>. Acusación de Héctor Fidel Cordero Bernal, 11 de junio de 1999. Anexo a la petición inicial de 11 de noviembre de 1998.</w:t>
      </w:r>
    </w:p>
  </w:footnote>
  <w:footnote w:id="53">
    <w:p w14:paraId="411373D6" w14:textId="4E248D43"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5</w:t>
      </w:r>
      <w:r w:rsidRPr="00BE6681">
        <w:rPr>
          <w:rFonts w:asciiTheme="majorHAnsi" w:hAnsiTheme="majorHAnsi"/>
          <w:sz w:val="16"/>
          <w:szCs w:val="16"/>
          <w:lang w:val="es-CO"/>
        </w:rPr>
        <w:t>. Corte Superior de Justicia de Huánuco, Sentencia de 24 de septiembre de 1999. Anexo al escrito del Estado de 30 de julio de 2008.</w:t>
      </w:r>
    </w:p>
  </w:footnote>
  <w:footnote w:id="54">
    <w:p w14:paraId="224FB595" w14:textId="189F83D6"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5</w:t>
      </w:r>
      <w:r w:rsidRPr="00BE6681">
        <w:rPr>
          <w:rFonts w:asciiTheme="majorHAnsi" w:hAnsiTheme="majorHAnsi"/>
          <w:sz w:val="16"/>
          <w:szCs w:val="16"/>
          <w:lang w:val="es-CO"/>
        </w:rPr>
        <w:t>. Corte Superior de Justicia de Huánuco, Sentencia de 24 de septiembre de 1999. Anexo al escrito del Estado de 30 de julio de 2008.</w:t>
      </w:r>
    </w:p>
  </w:footnote>
  <w:footnote w:id="55">
    <w:p w14:paraId="66F5CAA0" w14:textId="745358A9"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sidRPr="00BE6681">
        <w:rPr>
          <w:rFonts w:asciiTheme="majorHAnsi" w:hAnsiTheme="majorHAnsi"/>
          <w:sz w:val="16"/>
          <w:szCs w:val="16"/>
          <w:lang w:val="es-CO"/>
        </w:rPr>
        <w:t xml:space="preserve"> La presunta víctima interpuso apelación en relación con la condena por el delito de prevaricato y el Fiscal superior respecto de la absolución por el delito de encubrimiento y en relación con la pena impuesta por el</w:t>
      </w:r>
      <w:r>
        <w:rPr>
          <w:rFonts w:asciiTheme="majorHAnsi" w:hAnsiTheme="majorHAnsi"/>
          <w:sz w:val="16"/>
          <w:szCs w:val="16"/>
          <w:lang w:val="es-CO"/>
        </w:rPr>
        <w:t xml:space="preserve"> delito de prevaricato. Anexo 24</w:t>
      </w:r>
      <w:r w:rsidRPr="00BE6681">
        <w:rPr>
          <w:rFonts w:asciiTheme="majorHAnsi" w:hAnsiTheme="majorHAnsi"/>
          <w:sz w:val="16"/>
          <w:szCs w:val="16"/>
          <w:lang w:val="es-CO"/>
        </w:rPr>
        <w:t xml:space="preserve">. Interposición de recurso de apelación posterior a la lectura de sentencia, 24 de septiembre de 1999. Anexo al escrito del Estado </w:t>
      </w:r>
      <w:r>
        <w:rPr>
          <w:rFonts w:asciiTheme="majorHAnsi" w:hAnsiTheme="majorHAnsi"/>
          <w:sz w:val="16"/>
          <w:szCs w:val="16"/>
          <w:lang w:val="es-CO"/>
        </w:rPr>
        <w:t>de 30 de julio de 2008; Anexo 25</w:t>
      </w:r>
      <w:r w:rsidRPr="00BE6681">
        <w:rPr>
          <w:rFonts w:asciiTheme="majorHAnsi" w:hAnsiTheme="majorHAnsi"/>
          <w:sz w:val="16"/>
          <w:szCs w:val="16"/>
          <w:lang w:val="es-CO"/>
        </w:rPr>
        <w:t xml:space="preserve">. Fiscalía, Apelación de Sentencia, 27 de octubre de 1999. Anexo al escrito del Estado de 30 de julio de 2008. </w:t>
      </w:r>
    </w:p>
  </w:footnote>
  <w:footnote w:id="56">
    <w:p w14:paraId="7E6B507C" w14:textId="66FE3967"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26</w:t>
      </w:r>
      <w:r w:rsidRPr="00BE6681">
        <w:rPr>
          <w:rFonts w:asciiTheme="majorHAnsi" w:hAnsiTheme="majorHAnsi"/>
          <w:sz w:val="16"/>
          <w:szCs w:val="16"/>
          <w:lang w:val="es-CO"/>
        </w:rPr>
        <w:t>. Procuraduría Pública del Poder Judicial, Recurso de nulidad, 27 de septiembre de 1999. Anexo al escrito del Estado de 30 de julio de 2008.</w:t>
      </w:r>
    </w:p>
  </w:footnote>
  <w:footnote w:id="57">
    <w:p w14:paraId="75FBA89E" w14:textId="60D85B0C"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27</w:t>
      </w:r>
      <w:r w:rsidRPr="00BE6681">
        <w:rPr>
          <w:rFonts w:asciiTheme="majorHAnsi" w:hAnsiTheme="majorHAnsi"/>
          <w:sz w:val="16"/>
          <w:szCs w:val="16"/>
          <w:lang w:val="es-CO"/>
        </w:rPr>
        <w:t>. Decisión de 15 de diciembre de 1999. Anexo al escrito del Estado de 30 de julio de 2008.</w:t>
      </w:r>
    </w:p>
  </w:footnote>
  <w:footnote w:id="58">
    <w:p w14:paraId="5280B41A" w14:textId="0B81C794"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28</w:t>
      </w:r>
      <w:r w:rsidRPr="00BE6681">
        <w:rPr>
          <w:rFonts w:asciiTheme="majorHAnsi" w:hAnsiTheme="majorHAnsi"/>
          <w:sz w:val="16"/>
          <w:szCs w:val="16"/>
          <w:lang w:val="es-CO"/>
        </w:rPr>
        <w:t>. Corte Superior de Justicia de Huánuco, Sentencia de 21 de enero del 2000. Anexo al escrito del Estado de 30 de julio de 2008.</w:t>
      </w:r>
    </w:p>
  </w:footnote>
  <w:footnote w:id="59">
    <w:p w14:paraId="2E8A2948" w14:textId="654B163B"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29</w:t>
      </w:r>
      <w:r w:rsidRPr="00BE6681">
        <w:rPr>
          <w:rFonts w:asciiTheme="majorHAnsi" w:hAnsiTheme="majorHAnsi"/>
          <w:sz w:val="16"/>
          <w:szCs w:val="16"/>
          <w:lang w:val="es-CO"/>
        </w:rPr>
        <w:t>. Interposición de recurso de apelación posterior a la lectura de sentencia, 21 de enero del 2000. Anexo al escrito del Estado de 30 de julio de 2008.</w:t>
      </w:r>
    </w:p>
  </w:footnote>
  <w:footnote w:id="60">
    <w:p w14:paraId="055E6ED9" w14:textId="659689A1"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30</w:t>
      </w:r>
      <w:r w:rsidRPr="00BE6681">
        <w:rPr>
          <w:rFonts w:asciiTheme="majorHAnsi" w:hAnsiTheme="majorHAnsi"/>
          <w:sz w:val="16"/>
          <w:szCs w:val="16"/>
          <w:lang w:val="es-CO"/>
        </w:rPr>
        <w:t>. Decisión de 30 de marzo de 2000. Anexo al escrito del Estado de 30 de julio de 2008.</w:t>
      </w:r>
    </w:p>
  </w:footnote>
  <w:footnote w:id="61">
    <w:p w14:paraId="12CF3D72" w14:textId="3038A755"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31</w:t>
      </w:r>
      <w:r w:rsidRPr="00BE6681">
        <w:rPr>
          <w:rFonts w:asciiTheme="majorHAnsi" w:hAnsiTheme="majorHAnsi"/>
          <w:sz w:val="16"/>
          <w:szCs w:val="16"/>
          <w:lang w:val="es-CO"/>
        </w:rPr>
        <w:t>. Corte Superior de Justicia de Huánuco, Sentencia de 19 de julio del 2000. Anexo al escrito del Estado de 30 de julio de 2008.</w:t>
      </w:r>
    </w:p>
  </w:footnote>
  <w:footnote w:id="62">
    <w:p w14:paraId="33750440" w14:textId="7B0F7D51"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32</w:t>
      </w:r>
      <w:r w:rsidRPr="00BE6681">
        <w:rPr>
          <w:rFonts w:asciiTheme="majorHAnsi" w:hAnsiTheme="majorHAnsi"/>
          <w:sz w:val="16"/>
          <w:szCs w:val="16"/>
          <w:lang w:val="es-CO"/>
        </w:rPr>
        <w:t>. Interposición de recurso de apelación posterior a la lectura de sentencia, 19 de julio del 2000. Anexo al escrito del Estado de 30 de julio de 2008.</w:t>
      </w:r>
    </w:p>
  </w:footnote>
  <w:footnote w:id="63">
    <w:p w14:paraId="2B30C9D1" w14:textId="6FE8FEB7"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33</w:t>
      </w:r>
      <w:r w:rsidRPr="00BE6681">
        <w:rPr>
          <w:rFonts w:asciiTheme="majorHAnsi" w:hAnsiTheme="majorHAnsi"/>
          <w:sz w:val="16"/>
          <w:szCs w:val="16"/>
          <w:lang w:val="es-CO"/>
        </w:rPr>
        <w:t>. Decisión de 26 de septiembre del 2000. Anexo al escrito del Estado de 30 de julio de 2008.</w:t>
      </w:r>
    </w:p>
  </w:footnote>
  <w:footnote w:id="64">
    <w:p w14:paraId="09BB241B" w14:textId="027C24EF"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33</w:t>
      </w:r>
      <w:r w:rsidRPr="00BE6681">
        <w:rPr>
          <w:rFonts w:asciiTheme="majorHAnsi" w:hAnsiTheme="majorHAnsi"/>
          <w:sz w:val="16"/>
          <w:szCs w:val="16"/>
          <w:lang w:val="es-CO"/>
        </w:rPr>
        <w:t>. Decisión de 26 de septiembre del 2000. Anexo al escrito del Estado de 30 de julio de 2008.</w:t>
      </w:r>
    </w:p>
  </w:footnote>
  <w:footnote w:id="65">
    <w:p w14:paraId="6B64D6BB" w14:textId="7D6B4FB8"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34</w:t>
      </w:r>
      <w:r w:rsidRPr="00BE6681">
        <w:rPr>
          <w:rFonts w:asciiTheme="majorHAnsi" w:hAnsiTheme="majorHAnsi"/>
          <w:sz w:val="16"/>
          <w:szCs w:val="16"/>
          <w:lang w:val="es-CO"/>
        </w:rPr>
        <w:t>. Corte Superior de Justicia de Huánuco, Vocalía de Instrucción, Sentencia de 21 de junio de 2005. Anexo a la petición inicial de 11 de noviembre de 1998.</w:t>
      </w:r>
    </w:p>
  </w:footnote>
  <w:footnote w:id="66">
    <w:p w14:paraId="168EA33F" w14:textId="044E3561"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34</w:t>
      </w:r>
      <w:r w:rsidRPr="00BE6681">
        <w:rPr>
          <w:rFonts w:asciiTheme="majorHAnsi" w:hAnsiTheme="majorHAnsi"/>
          <w:sz w:val="16"/>
          <w:szCs w:val="16"/>
          <w:lang w:val="es-CO"/>
        </w:rPr>
        <w:t>. Corte Superior de Justicia de Huánuco, Vocalía de Instrucción, Sentencia de 21 de junio de 2005. Anexo a la petición inicial de 11 de noviembre de 1998.</w:t>
      </w:r>
    </w:p>
  </w:footnote>
  <w:footnote w:id="67">
    <w:p w14:paraId="79195D28" w14:textId="7D06C236"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34</w:t>
      </w:r>
      <w:r w:rsidRPr="00BE6681">
        <w:rPr>
          <w:rFonts w:asciiTheme="majorHAnsi" w:hAnsiTheme="majorHAnsi"/>
          <w:sz w:val="16"/>
          <w:szCs w:val="16"/>
          <w:lang w:val="es-CO"/>
        </w:rPr>
        <w:t>. Corte Superior de Justicia de Huánuco, Vocalía de Instrucción, Sentencia de 21 de junio de 2005. Anexo a la petición inicial de 11 de noviembre de 1998.</w:t>
      </w:r>
    </w:p>
  </w:footnote>
  <w:footnote w:id="68">
    <w:p w14:paraId="5D17CD5A" w14:textId="2C3E357C"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35</w:t>
      </w:r>
      <w:r w:rsidRPr="00BE6681">
        <w:rPr>
          <w:rFonts w:asciiTheme="majorHAnsi" w:hAnsiTheme="majorHAnsi"/>
          <w:sz w:val="16"/>
          <w:szCs w:val="16"/>
          <w:lang w:val="es-CO"/>
        </w:rPr>
        <w:t>. Fiscalía Superior, Apelación de Sentencia, 12 de julio de 2005. Anexo a la petición inicial de 11 de noviembre de 1998.</w:t>
      </w:r>
    </w:p>
  </w:footnote>
  <w:footnote w:id="69">
    <w:p w14:paraId="752DDF6B" w14:textId="72244F8C"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35</w:t>
      </w:r>
      <w:r w:rsidRPr="00BE6681">
        <w:rPr>
          <w:rFonts w:asciiTheme="majorHAnsi" w:hAnsiTheme="majorHAnsi"/>
          <w:sz w:val="16"/>
          <w:szCs w:val="16"/>
          <w:lang w:val="es-CO"/>
        </w:rPr>
        <w:t>. Fiscalía Superior, Apelación de Sentencia, 12 de julio de 2005. Anexo a la petición inicial de 11 de noviembre de 1998.</w:t>
      </w:r>
    </w:p>
  </w:footnote>
  <w:footnote w:id="70">
    <w:p w14:paraId="7BE0F105" w14:textId="43C8303F"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36</w:t>
      </w:r>
      <w:r w:rsidRPr="00BE6681">
        <w:rPr>
          <w:rFonts w:asciiTheme="majorHAnsi" w:hAnsiTheme="majorHAnsi"/>
          <w:sz w:val="16"/>
          <w:szCs w:val="16"/>
          <w:lang w:val="es-CO"/>
        </w:rPr>
        <w:t>. Decisión confirmatoria de Sentencia, 22 de agosto de 2005. Anexo a la petición inicial de 11 de noviembre de 1998.</w:t>
      </w:r>
    </w:p>
  </w:footnote>
  <w:footnote w:id="71">
    <w:p w14:paraId="7F8B5568" w14:textId="5AFA7AD3"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36</w:t>
      </w:r>
      <w:r w:rsidRPr="00BE6681">
        <w:rPr>
          <w:rFonts w:asciiTheme="majorHAnsi" w:hAnsiTheme="majorHAnsi"/>
          <w:sz w:val="16"/>
          <w:szCs w:val="16"/>
          <w:lang w:val="es-CO"/>
        </w:rPr>
        <w:t>. Decisión confirmatoria de Sentencia, 22 de agosto de 2005. Anexo a la petición inicial de 11 de noviembre de 1998.</w:t>
      </w:r>
    </w:p>
  </w:footnote>
  <w:footnote w:id="72">
    <w:p w14:paraId="1F587C15" w14:textId="2833DCE6"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36</w:t>
      </w:r>
      <w:r w:rsidRPr="00BE6681">
        <w:rPr>
          <w:rFonts w:asciiTheme="majorHAnsi" w:hAnsiTheme="majorHAnsi"/>
          <w:sz w:val="16"/>
          <w:szCs w:val="16"/>
          <w:lang w:val="es-CO"/>
        </w:rPr>
        <w:t>. Decisión confirmatoria de Sentencia, 22 de agosto de 2005. Anexo a la petición inicial de 11 de noviembre de 1998.</w:t>
      </w:r>
    </w:p>
  </w:footnote>
  <w:footnote w:id="73">
    <w:p w14:paraId="209CEA80" w14:textId="52AB9E5C"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37</w:t>
      </w:r>
      <w:r w:rsidRPr="00BE6681">
        <w:rPr>
          <w:rFonts w:asciiTheme="majorHAnsi" w:hAnsiTheme="majorHAnsi"/>
          <w:sz w:val="16"/>
          <w:szCs w:val="16"/>
          <w:lang w:val="es-CO"/>
        </w:rPr>
        <w:t xml:space="preserve">. Procuraduría Anticorrupción Descentralizada del Distrito Judicial de Huánuco, Recurso de nulidad, 25 de agosto de 2005. Anexo al escrito del Estado de 30 de julio de 2008; </w:t>
      </w:r>
      <w:r>
        <w:rPr>
          <w:rFonts w:asciiTheme="majorHAnsi" w:hAnsiTheme="majorHAnsi"/>
          <w:sz w:val="16"/>
          <w:szCs w:val="16"/>
          <w:lang w:val="es-CO"/>
        </w:rPr>
        <w:t>Anexo 38</w:t>
      </w:r>
      <w:r w:rsidRPr="00BE6681">
        <w:rPr>
          <w:rFonts w:asciiTheme="majorHAnsi" w:hAnsiTheme="majorHAnsi"/>
          <w:sz w:val="16"/>
          <w:szCs w:val="16"/>
          <w:lang w:val="es-CO"/>
        </w:rPr>
        <w:t>. Primera Sala Penal Superior de Huánuco, Decisión de 1 de septiembre de 2005. Anexo al escrito del Estado de 30 de julio de 2008.</w:t>
      </w:r>
    </w:p>
  </w:footnote>
  <w:footnote w:id="74">
    <w:p w14:paraId="6B722244" w14:textId="1000053A"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39</w:t>
      </w:r>
      <w:r w:rsidRPr="00BE6681">
        <w:rPr>
          <w:rFonts w:asciiTheme="majorHAnsi" w:hAnsiTheme="majorHAnsi"/>
          <w:sz w:val="16"/>
          <w:szCs w:val="16"/>
          <w:lang w:val="es-CO"/>
        </w:rPr>
        <w:t>. Recurso de nulidad de la Resolución No. 008-96-PCNM del Consejo Nacional de la Magistratura, 17 de noviembre de 2005. Anexo al escrito del Estado de 28 de septiembre de 2012.</w:t>
      </w:r>
    </w:p>
  </w:footnote>
  <w:footnote w:id="75">
    <w:p w14:paraId="149976FA" w14:textId="5E64B377"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39</w:t>
      </w:r>
      <w:r w:rsidRPr="00BE6681">
        <w:rPr>
          <w:rFonts w:asciiTheme="majorHAnsi" w:hAnsiTheme="majorHAnsi"/>
          <w:sz w:val="16"/>
          <w:szCs w:val="16"/>
          <w:lang w:val="es-CO"/>
        </w:rPr>
        <w:t>. Recurso de nulidad de la Resolución No. 008-96-PCNM del Consejo Nacional de la Magistratura, 17 de noviembre de 2005. Anexo al escrito del Estado de 28 de septiembre de 2012.</w:t>
      </w:r>
    </w:p>
  </w:footnote>
  <w:footnote w:id="76">
    <w:p w14:paraId="5E761A6D" w14:textId="099CFB94"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39</w:t>
      </w:r>
      <w:r w:rsidRPr="00BE6681">
        <w:rPr>
          <w:rFonts w:asciiTheme="majorHAnsi" w:hAnsiTheme="majorHAnsi"/>
          <w:sz w:val="16"/>
          <w:szCs w:val="16"/>
          <w:lang w:val="es-CO"/>
        </w:rPr>
        <w:t>. Recurso de nulidad de la Resolución No. 008-96-PCNM del Consejo Nacional de la Magistratura, 17 de noviembre de 2005. Anexo al escrito del Estado de 28 de septiembre de 2012.</w:t>
      </w:r>
    </w:p>
  </w:footnote>
  <w:footnote w:id="77">
    <w:p w14:paraId="73E0BDFB" w14:textId="5DCB9B7F"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40</w:t>
      </w:r>
      <w:r w:rsidRPr="00BE6681">
        <w:rPr>
          <w:rFonts w:asciiTheme="majorHAnsi" w:hAnsiTheme="majorHAnsi"/>
          <w:sz w:val="16"/>
          <w:szCs w:val="16"/>
          <w:lang w:val="es-CO"/>
        </w:rPr>
        <w:t>. Consejo Nacional de la Magistratura, Resolución No. 1198-2005-CNM, 30 de diciembre de 2005. Anexo al escrito del Estado de 28 de septiembre de 2012.</w:t>
      </w:r>
    </w:p>
  </w:footnote>
  <w:footnote w:id="78">
    <w:p w14:paraId="0FE54617" w14:textId="64E756B4"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40</w:t>
      </w:r>
      <w:r w:rsidRPr="00BE6681">
        <w:rPr>
          <w:rFonts w:asciiTheme="majorHAnsi" w:hAnsiTheme="majorHAnsi"/>
          <w:sz w:val="16"/>
          <w:szCs w:val="16"/>
          <w:lang w:val="es-CO"/>
        </w:rPr>
        <w:t>. Consejo Nacional de la Magistratura, Resolución No. 1198-2005-CNM, 30 de diciembre de 2005. Anexo al escrito del Estado de 28 de septiembre de 2012.</w:t>
      </w:r>
    </w:p>
  </w:footnote>
  <w:footnote w:id="79">
    <w:p w14:paraId="69BE963A" w14:textId="58EDDE6A"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sidRPr="00BE6681">
        <w:rPr>
          <w:rFonts w:asciiTheme="majorHAnsi" w:hAnsiTheme="majorHAnsi"/>
          <w:sz w:val="16"/>
          <w:szCs w:val="16"/>
          <w:lang w:val="es-CO"/>
        </w:rPr>
        <w:t xml:space="preserve"> </w:t>
      </w:r>
      <w:r>
        <w:rPr>
          <w:rFonts w:asciiTheme="majorHAnsi" w:hAnsiTheme="majorHAnsi"/>
          <w:sz w:val="16"/>
          <w:szCs w:val="16"/>
          <w:lang w:val="es-CO"/>
        </w:rPr>
        <w:t>Anexo 40</w:t>
      </w:r>
      <w:r w:rsidRPr="00BE6681">
        <w:rPr>
          <w:rFonts w:asciiTheme="majorHAnsi" w:hAnsiTheme="majorHAnsi"/>
          <w:sz w:val="16"/>
          <w:szCs w:val="16"/>
          <w:lang w:val="es-CO"/>
        </w:rPr>
        <w:t>. Consejo Nacional de la Magistratura, Resolución No. 1198-2005-CNM, 30 de diciembre de 2005. Anexo al escrito del Estado de 28 de septiembre de 2012.</w:t>
      </w:r>
    </w:p>
  </w:footnote>
  <w:footnote w:id="80">
    <w:p w14:paraId="4F961FE9" w14:textId="333107E2"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40</w:t>
      </w:r>
      <w:r w:rsidRPr="00BE6681">
        <w:rPr>
          <w:rFonts w:asciiTheme="majorHAnsi" w:hAnsiTheme="majorHAnsi"/>
          <w:sz w:val="16"/>
          <w:szCs w:val="16"/>
          <w:lang w:val="es-CO"/>
        </w:rPr>
        <w:t>. Consejo Nacional de la Magistratura, Resolución No. 1198-2005-CNM, 30 de diciembre de 2005. Anexo al escrito del Estado de 28 de septiembre de 2012.</w:t>
      </w:r>
    </w:p>
  </w:footnote>
  <w:footnote w:id="81">
    <w:p w14:paraId="4D531C9D" w14:textId="51BAA761"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41</w:t>
      </w:r>
      <w:r w:rsidRPr="00BE6681">
        <w:rPr>
          <w:rFonts w:asciiTheme="majorHAnsi" w:hAnsiTheme="majorHAnsi"/>
          <w:sz w:val="16"/>
          <w:szCs w:val="16"/>
          <w:lang w:val="es-CO"/>
        </w:rPr>
        <w:t>. Recurso de apelación, 25 de enero de 2006. Anexo al escrito del Estado de 28 de septiembre de 2012.</w:t>
      </w:r>
    </w:p>
  </w:footnote>
  <w:footnote w:id="82">
    <w:p w14:paraId="087D8D41" w14:textId="218B663B"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41</w:t>
      </w:r>
      <w:r w:rsidRPr="00BE6681">
        <w:rPr>
          <w:rFonts w:asciiTheme="majorHAnsi" w:hAnsiTheme="majorHAnsi"/>
          <w:sz w:val="16"/>
          <w:szCs w:val="16"/>
          <w:lang w:val="es-CO"/>
        </w:rPr>
        <w:t>. Recurso de apelación, 25 de enero de 2006. Anexo al escrito del Estado de 28 de septiembre de 2012.</w:t>
      </w:r>
    </w:p>
  </w:footnote>
  <w:footnote w:id="83">
    <w:p w14:paraId="53A09E66" w14:textId="6AC3352A"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41</w:t>
      </w:r>
      <w:r w:rsidRPr="00BE6681">
        <w:rPr>
          <w:rFonts w:asciiTheme="majorHAnsi" w:hAnsiTheme="majorHAnsi"/>
          <w:sz w:val="16"/>
          <w:szCs w:val="16"/>
          <w:lang w:val="es-CO"/>
        </w:rPr>
        <w:t>. Recurso de apelación, 25 de enero de 2006. Anexo al escrito del Estado de 28 de septiembre de 2012.</w:t>
      </w:r>
    </w:p>
  </w:footnote>
  <w:footnote w:id="84">
    <w:p w14:paraId="53E99A34" w14:textId="69710AD4"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42</w:t>
      </w:r>
      <w:r w:rsidRPr="00BE6681">
        <w:rPr>
          <w:rFonts w:asciiTheme="majorHAnsi" w:hAnsiTheme="majorHAnsi"/>
          <w:sz w:val="16"/>
          <w:szCs w:val="16"/>
          <w:lang w:val="es-CO"/>
        </w:rPr>
        <w:t>. Consejo Nacional de la Magistratura, Resolución No. 078-2006-CNM, 20 de febrero de 2006. Anexo al escrito del Estado de 28 de septiembre de 2012.</w:t>
      </w:r>
    </w:p>
  </w:footnote>
  <w:footnote w:id="85">
    <w:p w14:paraId="43CD8CFD" w14:textId="269A2B99"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Anexo 42</w:t>
      </w:r>
      <w:r w:rsidRPr="00BE6681">
        <w:rPr>
          <w:rFonts w:asciiTheme="majorHAnsi" w:hAnsiTheme="majorHAnsi"/>
          <w:sz w:val="16"/>
          <w:szCs w:val="16"/>
          <w:lang w:val="es-CO"/>
        </w:rPr>
        <w:t>. Consejo Nacional de la Magistratura, Resolución No. 078-2006-CNM, 20 de febrero de 2006. Anexo al escrito del Estado de 28 de septiembre de 2012.</w:t>
      </w:r>
    </w:p>
  </w:footnote>
  <w:footnote w:id="86">
    <w:p w14:paraId="3EDD052B" w14:textId="77777777" w:rsidR="001050CB" w:rsidRPr="00BE6681" w:rsidRDefault="001050CB" w:rsidP="00536AF3">
      <w:pPr>
        <w:pStyle w:val="FootnoteText"/>
        <w:jc w:val="both"/>
        <w:rPr>
          <w:rFonts w:asciiTheme="majorHAnsi" w:hAnsiTheme="majorHAnsi"/>
          <w:color w:val="auto"/>
          <w:sz w:val="16"/>
          <w:szCs w:val="16"/>
          <w:lang w:val="es-ES"/>
        </w:rPr>
      </w:pPr>
      <w:r w:rsidRPr="00BE6681">
        <w:rPr>
          <w:rStyle w:val="FootnoteReference"/>
          <w:rFonts w:asciiTheme="majorHAnsi" w:hAnsiTheme="majorHAnsi"/>
          <w:color w:val="auto"/>
          <w:sz w:val="16"/>
          <w:szCs w:val="16"/>
        </w:rPr>
        <w:footnoteRef/>
      </w:r>
      <w:r w:rsidRPr="00BE6681">
        <w:rPr>
          <w:rFonts w:asciiTheme="majorHAnsi" w:hAnsiTheme="majorHAnsi"/>
          <w:color w:val="auto"/>
          <w:sz w:val="16"/>
          <w:szCs w:val="16"/>
          <w:lang w:val="es-ES"/>
        </w:rPr>
        <w:t xml:space="preserve"> CIDH, Informe No. 65/11, Caso 12.600, Fondo, Hugo Quintana Coello y otros “Magistrados de la Corte Suprema de Justicia”, Ecuador, 31 de marzo de 2011, párr. 102; Corte IDH. </w:t>
      </w:r>
      <w:hyperlink r:id="rId1" w:history="1">
        <w:r w:rsidRPr="00BE6681">
          <w:rPr>
            <w:rStyle w:val="Hyperlink"/>
            <w:rFonts w:asciiTheme="majorHAnsi" w:hAnsiTheme="majorHAnsi" w:cs="Arial"/>
            <w:color w:val="auto"/>
            <w:sz w:val="16"/>
            <w:szCs w:val="16"/>
            <w:u w:val="none"/>
            <w:shd w:val="clear" w:color="auto" w:fill="FFFFFF"/>
            <w:lang w:val="es-VE"/>
          </w:rPr>
          <w:t>Caso Baena Ricardo y otros Vs. Panamá. Fondo, Reparaciones y Costas. Sentencia de 2 de febrero de 2001. Serie C No. 72</w:t>
        </w:r>
      </w:hyperlink>
      <w:r w:rsidRPr="00BE6681">
        <w:rPr>
          <w:rFonts w:asciiTheme="majorHAnsi" w:hAnsiTheme="majorHAnsi"/>
          <w:color w:val="auto"/>
          <w:sz w:val="16"/>
          <w:szCs w:val="16"/>
          <w:lang w:val="es-ES"/>
        </w:rPr>
        <w:t xml:space="preserve">, párrs. 126-127; </w:t>
      </w:r>
      <w:hyperlink r:id="rId2" w:history="1">
        <w:r w:rsidRPr="00BE6681">
          <w:rPr>
            <w:rStyle w:val="Hyperlink"/>
            <w:rFonts w:asciiTheme="majorHAnsi" w:hAnsiTheme="majorHAnsi" w:cs="Arial"/>
            <w:color w:val="auto"/>
            <w:sz w:val="16"/>
            <w:szCs w:val="16"/>
            <w:u w:val="none"/>
            <w:shd w:val="clear" w:color="auto" w:fill="FFFFFF"/>
            <w:lang w:val="es-VE"/>
          </w:rPr>
          <w:t>Caso del Tribunal Constitucional Vs. Perú. Fondo, Reparaciones y Costas. Sentencia de 31 de enero de 2001. Serie C No. 71</w:t>
        </w:r>
      </w:hyperlink>
      <w:r w:rsidRPr="00BE6681">
        <w:rPr>
          <w:rFonts w:asciiTheme="majorHAnsi" w:hAnsiTheme="majorHAnsi"/>
          <w:color w:val="auto"/>
          <w:sz w:val="16"/>
          <w:szCs w:val="16"/>
          <w:lang w:val="es-ES"/>
        </w:rPr>
        <w:t xml:space="preserve">, párrs. 69-70; y </w:t>
      </w:r>
      <w:hyperlink r:id="rId3" w:history="1">
        <w:r w:rsidRPr="00BE6681">
          <w:rPr>
            <w:rStyle w:val="Hyperlink"/>
            <w:rFonts w:asciiTheme="majorHAnsi" w:hAnsiTheme="majorHAnsi" w:cs="Arial"/>
            <w:color w:val="auto"/>
            <w:sz w:val="16"/>
            <w:szCs w:val="16"/>
            <w:u w:val="none"/>
            <w:shd w:val="clear" w:color="auto" w:fill="FFFFFF"/>
            <w:lang w:val="es-VE"/>
          </w:rPr>
          <w:t>Caso López Mendoza Vs. Venezuela. Fondo Reparaciones y Costas. Sentencia de 1 de septiembre de 2011 Serie C No. 233</w:t>
        </w:r>
      </w:hyperlink>
      <w:r w:rsidRPr="00BE6681">
        <w:rPr>
          <w:rFonts w:asciiTheme="majorHAnsi" w:hAnsiTheme="majorHAnsi"/>
          <w:color w:val="auto"/>
          <w:sz w:val="16"/>
          <w:szCs w:val="16"/>
          <w:lang w:val="es-ES"/>
        </w:rPr>
        <w:t xml:space="preserve">, párr. 111. </w:t>
      </w:r>
    </w:p>
  </w:footnote>
  <w:footnote w:id="87">
    <w:p w14:paraId="401C2633" w14:textId="77777777" w:rsidR="001050CB" w:rsidRPr="00BE6681" w:rsidRDefault="001050CB" w:rsidP="00536AF3">
      <w:pPr>
        <w:pStyle w:val="FootnoteText"/>
        <w:jc w:val="both"/>
        <w:rPr>
          <w:rFonts w:asciiTheme="majorHAnsi" w:hAnsiTheme="majorHAnsi"/>
          <w:color w:val="auto"/>
          <w:sz w:val="16"/>
          <w:szCs w:val="16"/>
          <w:lang w:val="es-ES"/>
        </w:rPr>
      </w:pPr>
      <w:r w:rsidRPr="00BE6681">
        <w:rPr>
          <w:rStyle w:val="FootnoteReference"/>
          <w:rFonts w:asciiTheme="majorHAnsi" w:hAnsiTheme="majorHAnsi"/>
          <w:color w:val="auto"/>
          <w:sz w:val="16"/>
          <w:szCs w:val="16"/>
        </w:rPr>
        <w:footnoteRef/>
      </w:r>
      <w:r w:rsidRPr="00BE6681">
        <w:rPr>
          <w:rFonts w:asciiTheme="majorHAnsi" w:hAnsiTheme="majorHAnsi"/>
          <w:color w:val="auto"/>
          <w:sz w:val="16"/>
          <w:szCs w:val="16"/>
          <w:lang w:val="es-ES"/>
        </w:rPr>
        <w:t xml:space="preserve"> CIDH. El Acceso a la Justicia como Garantía de los Derechos Económicos, Sociales y Culturales. Estudio de los Estándares Fijados por el Sistema Interamericano de Derechos Humanos. </w:t>
      </w:r>
      <w:r w:rsidRPr="00BE6681">
        <w:rPr>
          <w:rFonts w:asciiTheme="majorHAnsi" w:hAnsiTheme="majorHAnsi"/>
          <w:color w:val="auto"/>
          <w:sz w:val="16"/>
          <w:szCs w:val="16"/>
          <w:lang w:val="es-ES_tradnl"/>
        </w:rPr>
        <w:t xml:space="preserve">OEA/Ser.L/V/II.129. 7 de septiembre de 2007, párrs. 98-123; y Caso No. 12.828, Informe 112/12, Marcel Granier y otros, Venezuela, Fondo, 9 de noviembre de 2012, párr. </w:t>
      </w:r>
      <w:r w:rsidRPr="00BE6681">
        <w:rPr>
          <w:rFonts w:asciiTheme="majorHAnsi" w:hAnsiTheme="majorHAnsi"/>
          <w:color w:val="auto"/>
          <w:sz w:val="16"/>
          <w:szCs w:val="16"/>
          <w:lang w:val="pt-BR"/>
        </w:rPr>
        <w:t xml:space="preserve">188; CIDH. Informe No. 42/14. Caso 12.453. Fondo. Olga Yolanda Maldonado Ordoñez. Guatemala. 17 de julio de 2014. Párr. 69; Corte IDH. </w:t>
      </w:r>
      <w:hyperlink r:id="rId4" w:history="1">
        <w:r w:rsidRPr="00BE6681">
          <w:rPr>
            <w:rStyle w:val="Hyperlink"/>
            <w:rFonts w:asciiTheme="majorHAnsi" w:hAnsiTheme="majorHAnsi" w:cs="Arial"/>
            <w:color w:val="auto"/>
            <w:sz w:val="16"/>
            <w:szCs w:val="16"/>
            <w:u w:val="none"/>
            <w:shd w:val="clear" w:color="auto" w:fill="FFFFFF"/>
            <w:lang w:val="es-VE"/>
          </w:rPr>
          <w:t>Caso Baena Ricardo y otros Vs. Panamá. Fondo, Reparaciones y Costas. Sentencia de 2 de febrero de 2001. Serie C No. 72</w:t>
        </w:r>
      </w:hyperlink>
      <w:r w:rsidRPr="00BE6681">
        <w:rPr>
          <w:rFonts w:asciiTheme="majorHAnsi" w:hAnsiTheme="majorHAnsi"/>
          <w:color w:val="auto"/>
          <w:sz w:val="16"/>
          <w:szCs w:val="16"/>
          <w:lang w:val="es-ES"/>
        </w:rPr>
        <w:t>, párrs. 126-127.</w:t>
      </w:r>
    </w:p>
  </w:footnote>
  <w:footnote w:id="88">
    <w:p w14:paraId="5640F28B" w14:textId="77777777" w:rsidR="001050CB" w:rsidRPr="00BE6681" w:rsidRDefault="001050CB" w:rsidP="00536AF3">
      <w:pPr>
        <w:jc w:val="both"/>
        <w:rPr>
          <w:rFonts w:asciiTheme="majorHAnsi" w:eastAsia="Times New Roman" w:hAnsiTheme="majorHAnsi"/>
          <w:sz w:val="16"/>
          <w:szCs w:val="16"/>
          <w:lang w:val="es-MX"/>
        </w:rPr>
      </w:pPr>
      <w:r w:rsidRPr="00BE6681">
        <w:rPr>
          <w:rStyle w:val="FootnoteReference"/>
          <w:rFonts w:asciiTheme="majorHAnsi" w:hAnsiTheme="majorHAnsi"/>
          <w:sz w:val="16"/>
          <w:szCs w:val="16"/>
        </w:rPr>
        <w:footnoteRef/>
      </w:r>
      <w:r w:rsidRPr="00BE6681">
        <w:rPr>
          <w:rFonts w:asciiTheme="majorHAnsi" w:hAnsiTheme="majorHAnsi"/>
          <w:sz w:val="16"/>
          <w:szCs w:val="16"/>
          <w:lang w:val="es-CO"/>
        </w:rPr>
        <w:t xml:space="preserve"> CIDH, Informe de Fondo 12.816, Informe No. 103/13, 5 de noviembre de 2013, párr. 112. Citando </w:t>
      </w:r>
      <w:r w:rsidRPr="00BE6681">
        <w:rPr>
          <w:rFonts w:asciiTheme="majorHAnsi" w:eastAsia="Times New Roman" w:hAnsiTheme="majorHAnsi"/>
          <w:sz w:val="16"/>
          <w:szCs w:val="16"/>
          <w:lang w:val="es-MX"/>
        </w:rPr>
        <w:t>Naciones Unidas. Comité de Derechos Humanos. Observación General No. 32, CCPR/C/GC/32, 23 de agosto de 2007, párr.19. Ver en este sentido Cfr. El Hábeas Corpus Bajo Suspensión de Garantías (arts. 27.2, 25.1 y 7.6 Convención Americana sobre Derechos Humanos). Opinión Consultiva OC-8/87 del 30 de enero de 1987. Serie A No. 8, párr. 30.</w:t>
      </w:r>
      <w:r w:rsidRPr="00BE6681">
        <w:rPr>
          <w:rFonts w:asciiTheme="majorHAnsi" w:hAnsiTheme="majorHAnsi"/>
          <w:sz w:val="16"/>
          <w:szCs w:val="16"/>
          <w:lang w:val="es-MX"/>
        </w:rPr>
        <w:t xml:space="preserve"> Ver también, CIDH, Democracia y Derechos Humanos en Venezuela, III. La Separación e independencia de los poderes públicos, 30 de diciembre de 2009. párr. 80.</w:t>
      </w:r>
    </w:p>
  </w:footnote>
  <w:footnote w:id="89">
    <w:p w14:paraId="14A5A11B" w14:textId="77777777" w:rsidR="001050CB" w:rsidRPr="00BE6681" w:rsidRDefault="001050CB" w:rsidP="00536AF3">
      <w:pPr>
        <w:pStyle w:val="FootnoteText"/>
        <w:jc w:val="both"/>
        <w:rPr>
          <w:rFonts w:asciiTheme="majorHAnsi" w:hAnsiTheme="majorHAnsi"/>
          <w:sz w:val="16"/>
          <w:szCs w:val="16"/>
          <w:lang w:val="es-CO"/>
        </w:rPr>
      </w:pPr>
      <w:r w:rsidRPr="00BE6681">
        <w:rPr>
          <w:rFonts w:asciiTheme="majorHAnsi" w:hAnsiTheme="majorHAnsi"/>
          <w:sz w:val="16"/>
          <w:szCs w:val="16"/>
          <w:vertAlign w:val="superscript"/>
          <w:lang w:val="es-CO"/>
        </w:rPr>
        <w:footnoteRef/>
      </w:r>
      <w:r w:rsidRPr="00BE6681">
        <w:rPr>
          <w:rFonts w:asciiTheme="majorHAnsi" w:hAnsiTheme="majorHAnsi"/>
          <w:sz w:val="16"/>
          <w:szCs w:val="16"/>
          <w:lang w:val="es-CO"/>
        </w:rPr>
        <w:t xml:space="preserve"> Corte IDH, Caso Reverón Trujillo Vs. Venezuela. Excepción Preliminar, Fondo, Reparaciones y Costas. Sentencia de 30 de junio de 2009. Serie C No. 197, párr. 67; CIDH, Democracia y Derechos Humanos, 30 de diciembre de 2009, párr. 185; CIDH, Segundo Informe sobre la Situación de las Defensoras y los Defensores de Derechos Humanos, 31 de diciembre de 2011, párr. 359. </w:t>
      </w:r>
    </w:p>
  </w:footnote>
  <w:footnote w:id="90">
    <w:p w14:paraId="31223DC9" w14:textId="77777777" w:rsidR="001050CB" w:rsidRPr="00BE6681" w:rsidRDefault="001050CB" w:rsidP="00536AF3">
      <w:pPr>
        <w:pStyle w:val="FootnoteText"/>
        <w:jc w:val="both"/>
        <w:rPr>
          <w:rFonts w:asciiTheme="majorHAnsi" w:hAnsiTheme="majorHAnsi"/>
          <w:sz w:val="16"/>
          <w:szCs w:val="16"/>
          <w:lang w:val="es-CO"/>
        </w:rPr>
      </w:pPr>
      <w:r w:rsidRPr="00BE6681">
        <w:rPr>
          <w:rFonts w:asciiTheme="majorHAnsi" w:hAnsiTheme="majorHAnsi"/>
          <w:sz w:val="16"/>
          <w:szCs w:val="16"/>
          <w:vertAlign w:val="superscript"/>
          <w:lang w:val="es-CO"/>
        </w:rPr>
        <w:footnoteRef/>
      </w:r>
      <w:r w:rsidRPr="00BE6681">
        <w:rPr>
          <w:rFonts w:asciiTheme="majorHAnsi" w:hAnsiTheme="majorHAnsi"/>
          <w:sz w:val="16"/>
          <w:szCs w:val="16"/>
          <w:lang w:val="es-CO"/>
        </w:rPr>
        <w:t xml:space="preserve"> Así, por ejemplo, la Corte Interamericana ha señalado que de las obligaciones que tiene el Estado para los justiciables sujetos a procesos ante los tribunales surgen a su vez “derechos para los jueces”, entre ellos, la Corte ha señalado que “la garantía de no estar sujeto a libre remoción conlleva a que los procesos disciplinarios y sancionatorios de jueces deben necesariamente respetar las garantías del debido proceso y debe ofrecerse a los perjudicados un recurso efectivo”. Corte IDH. Caso Apitz Barbera y otros (“Corte Primera de lo Contencioso Administrativo”) Vs. Venezuela. Excepción Preliminar, Fondo, Reparaciones y Costas. Sentencia de 5 de agosto de 2008. Serie C No. 182, párr. 147.</w:t>
      </w:r>
    </w:p>
  </w:footnote>
  <w:footnote w:id="91">
    <w:p w14:paraId="09A90B9C" w14:textId="77777777" w:rsidR="001050CB" w:rsidRPr="00BE6681" w:rsidRDefault="001050CB" w:rsidP="00536AF3">
      <w:pPr>
        <w:jc w:val="both"/>
        <w:rPr>
          <w:rFonts w:asciiTheme="majorHAnsi" w:eastAsia="Times New Roman" w:hAnsiTheme="majorHAnsi"/>
          <w:sz w:val="16"/>
          <w:szCs w:val="16"/>
          <w:lang w:val="es-MX"/>
        </w:rPr>
      </w:pPr>
      <w:r w:rsidRPr="00BE6681">
        <w:rPr>
          <w:rStyle w:val="FootnoteReference"/>
          <w:rFonts w:asciiTheme="majorHAnsi" w:hAnsiTheme="majorHAnsi"/>
          <w:sz w:val="16"/>
          <w:szCs w:val="16"/>
        </w:rPr>
        <w:footnoteRef/>
      </w:r>
      <w:r w:rsidRPr="00BE6681">
        <w:rPr>
          <w:rFonts w:asciiTheme="majorHAnsi" w:hAnsiTheme="majorHAnsi"/>
          <w:sz w:val="16"/>
          <w:szCs w:val="16"/>
          <w:lang w:val="es-MX"/>
        </w:rPr>
        <w:t xml:space="preserve">CIDH, Informe sobre las Garantías para la Independencia de las y los Operadores de Justicia. Hacia el fortalecimiento del acceso a la justicia y el estado de derecho en las Américas,  5 de diciembre de 2013, párrs. 56, 109 y 184, </w:t>
      </w:r>
      <w:r w:rsidRPr="00BE6681">
        <w:rPr>
          <w:rFonts w:asciiTheme="majorHAnsi" w:eastAsia="Times New Roman" w:hAnsiTheme="majorHAnsi"/>
          <w:bCs/>
          <w:sz w:val="16"/>
          <w:szCs w:val="16"/>
          <w:shd w:val="clear" w:color="auto" w:fill="FFFFFF"/>
          <w:lang w:val="es-MX"/>
        </w:rPr>
        <w:t>Corte IDH. Caso López Lone y otros Vs. Honduras. Excepción Preliminar, Fondo, Reparaciones y Costas. Sentencia de 5 de octubre de 2015. Serie C No. 302, párr. 191.</w:t>
      </w:r>
    </w:p>
  </w:footnote>
  <w:footnote w:id="92">
    <w:p w14:paraId="352F0D01" w14:textId="5A07018C" w:rsidR="001050CB" w:rsidRPr="00BE6681" w:rsidRDefault="001050CB" w:rsidP="00536AF3">
      <w:pPr>
        <w:jc w:val="both"/>
        <w:rPr>
          <w:rFonts w:asciiTheme="majorHAnsi" w:eastAsia="Times New Roman" w:hAnsiTheme="majorHAnsi"/>
          <w:sz w:val="16"/>
          <w:szCs w:val="16"/>
          <w:lang w:val="es-MX"/>
        </w:rPr>
      </w:pPr>
      <w:r w:rsidRPr="00BE6681">
        <w:rPr>
          <w:rStyle w:val="FootnoteReference"/>
          <w:rFonts w:asciiTheme="majorHAnsi" w:hAnsiTheme="majorHAnsi"/>
          <w:sz w:val="16"/>
          <w:szCs w:val="16"/>
        </w:rPr>
        <w:footnoteRef/>
      </w:r>
      <w:r w:rsidRPr="00BE6681">
        <w:rPr>
          <w:rFonts w:asciiTheme="majorHAnsi" w:hAnsiTheme="majorHAnsi"/>
          <w:sz w:val="16"/>
          <w:szCs w:val="16"/>
          <w:lang w:val="es-MX"/>
        </w:rPr>
        <w:t xml:space="preserve"> </w:t>
      </w:r>
      <w:r w:rsidRPr="00BE6681">
        <w:rPr>
          <w:rFonts w:asciiTheme="majorHAnsi" w:eastAsia="Times New Roman" w:hAnsiTheme="majorHAnsi"/>
          <w:bCs/>
          <w:sz w:val="16"/>
          <w:szCs w:val="16"/>
          <w:shd w:val="clear" w:color="auto" w:fill="FFFFFF"/>
          <w:lang w:val="es-MX"/>
        </w:rPr>
        <w:t>Corte IDH. Caso López Lone y otros Vs. Honduras. Excepción Preliminar, Fondo, Reparacio</w:t>
      </w:r>
      <w:r>
        <w:rPr>
          <w:rFonts w:asciiTheme="majorHAnsi" w:eastAsia="Times New Roman" w:hAnsiTheme="majorHAnsi"/>
          <w:bCs/>
          <w:sz w:val="16"/>
          <w:szCs w:val="16"/>
          <w:shd w:val="clear" w:color="auto" w:fill="FFFFFF"/>
          <w:lang w:val="es-MX"/>
        </w:rPr>
        <w:t xml:space="preserve">nes y Costas. Sentencia de 5 de </w:t>
      </w:r>
      <w:r w:rsidRPr="00BE6681">
        <w:rPr>
          <w:rFonts w:asciiTheme="majorHAnsi" w:eastAsia="Times New Roman" w:hAnsiTheme="majorHAnsi"/>
          <w:bCs/>
          <w:sz w:val="16"/>
          <w:szCs w:val="16"/>
          <w:shd w:val="clear" w:color="auto" w:fill="FFFFFF"/>
          <w:lang w:val="es-MX"/>
        </w:rPr>
        <w:t>octubre de 2015. Serie C No. 302, párr. 192.</w:t>
      </w:r>
    </w:p>
  </w:footnote>
  <w:footnote w:id="93">
    <w:p w14:paraId="6912B514" w14:textId="77777777" w:rsidR="001050CB" w:rsidRPr="00BE6681" w:rsidRDefault="001050CB" w:rsidP="00536AF3">
      <w:pPr>
        <w:jc w:val="both"/>
        <w:rPr>
          <w:rFonts w:asciiTheme="majorHAnsi" w:eastAsia="Times New Roman" w:hAnsiTheme="majorHAnsi"/>
          <w:sz w:val="16"/>
          <w:szCs w:val="16"/>
          <w:lang w:val="es-MX"/>
        </w:rPr>
      </w:pPr>
      <w:r w:rsidRPr="00BE6681">
        <w:rPr>
          <w:rStyle w:val="FootnoteReference"/>
          <w:rFonts w:asciiTheme="majorHAnsi" w:hAnsiTheme="majorHAnsi"/>
          <w:sz w:val="16"/>
          <w:szCs w:val="16"/>
        </w:rPr>
        <w:footnoteRef/>
      </w:r>
      <w:r w:rsidRPr="00BE6681">
        <w:rPr>
          <w:rFonts w:asciiTheme="majorHAnsi" w:hAnsiTheme="majorHAnsi"/>
          <w:sz w:val="16"/>
          <w:szCs w:val="16"/>
          <w:lang w:val="es-MX"/>
        </w:rPr>
        <w:t xml:space="preserve"> </w:t>
      </w:r>
      <w:r w:rsidRPr="00BE6681">
        <w:rPr>
          <w:rFonts w:asciiTheme="majorHAnsi" w:eastAsia="Times New Roman" w:hAnsiTheme="majorHAnsi"/>
          <w:bCs/>
          <w:sz w:val="16"/>
          <w:szCs w:val="16"/>
          <w:shd w:val="clear" w:color="auto" w:fill="FFFFFF"/>
          <w:lang w:val="es-MX"/>
        </w:rPr>
        <w:t>Corte IDH. Caso López Lone y otros Vs. Honduras. Excepción Preliminar, Fondo, Reparaciones y Costas. Sentencia de 5 de octubre de 2015. Serie C No. 302, párr. 192.</w:t>
      </w:r>
    </w:p>
  </w:footnote>
  <w:footnote w:id="94">
    <w:p w14:paraId="76B5C94E" w14:textId="77777777" w:rsidR="001050CB" w:rsidRPr="00BE6681" w:rsidRDefault="001050CB" w:rsidP="00536AF3">
      <w:pPr>
        <w:pStyle w:val="FootnoteText"/>
        <w:jc w:val="both"/>
        <w:rPr>
          <w:rFonts w:asciiTheme="majorHAnsi" w:hAnsiTheme="majorHAnsi"/>
          <w:color w:val="auto"/>
          <w:sz w:val="16"/>
          <w:szCs w:val="16"/>
          <w:lang w:val="es-ES"/>
        </w:rPr>
      </w:pPr>
      <w:r w:rsidRPr="00BE6681">
        <w:rPr>
          <w:rStyle w:val="FootnoteReference"/>
          <w:rFonts w:asciiTheme="majorHAnsi" w:hAnsiTheme="majorHAnsi"/>
          <w:color w:val="auto"/>
          <w:sz w:val="16"/>
          <w:szCs w:val="16"/>
        </w:rPr>
        <w:footnoteRef/>
      </w:r>
      <w:r w:rsidRPr="00BE6681">
        <w:rPr>
          <w:rFonts w:asciiTheme="majorHAnsi" w:hAnsiTheme="majorHAnsi"/>
          <w:color w:val="auto"/>
          <w:sz w:val="16"/>
          <w:szCs w:val="16"/>
          <w:lang w:val="es-VE"/>
        </w:rPr>
        <w:t xml:space="preserve"> </w:t>
      </w:r>
      <w:r w:rsidRPr="00BE6681">
        <w:rPr>
          <w:rFonts w:asciiTheme="majorHAnsi" w:hAnsiTheme="majorHAnsi"/>
          <w:color w:val="auto"/>
          <w:sz w:val="16"/>
          <w:szCs w:val="16"/>
          <w:lang w:val="es-AR"/>
        </w:rPr>
        <w:t>El artículo 9 de la Convención establece que nadie puede ser condenado por acciones u omisiones que en el momento de cometerse no fueran delictivos según el derecho aplicable. Tampoco se puede imponer pena más grave que la aplicable en el momento de la comisión del delito. Si con posterior a la comisión del delito la ley dispone la imposición de una pena más leve, el delincuente se beneficiará de ello.</w:t>
      </w:r>
    </w:p>
  </w:footnote>
  <w:footnote w:id="95">
    <w:p w14:paraId="36F8B444" w14:textId="77777777" w:rsidR="001050CB" w:rsidRPr="00BE6681" w:rsidRDefault="001050CB" w:rsidP="00536AF3">
      <w:pPr>
        <w:jc w:val="both"/>
        <w:rPr>
          <w:rFonts w:asciiTheme="majorHAnsi" w:hAnsiTheme="majorHAnsi"/>
          <w:sz w:val="16"/>
          <w:szCs w:val="16"/>
          <w:lang w:val="es-CO"/>
        </w:rPr>
      </w:pPr>
      <w:r w:rsidRPr="00BE6681">
        <w:rPr>
          <w:rStyle w:val="FootnoteReference"/>
          <w:rFonts w:asciiTheme="majorHAnsi" w:hAnsiTheme="majorHAnsi"/>
          <w:sz w:val="16"/>
          <w:szCs w:val="16"/>
        </w:rPr>
        <w:footnoteRef/>
      </w:r>
      <w:r w:rsidRPr="00BE6681">
        <w:rPr>
          <w:rFonts w:asciiTheme="majorHAnsi" w:hAnsiTheme="majorHAnsi"/>
          <w:sz w:val="16"/>
          <w:szCs w:val="16"/>
          <w:lang w:val="es-VE"/>
        </w:rPr>
        <w:t xml:space="preserve"> CIDH, Criminalización de la labor de las defensoras y los defensores de derechos humanos, OEA/Ser.L/V/Doc.49/15, 31 de diciembre de 2015, párr. 253.</w:t>
      </w:r>
    </w:p>
  </w:footnote>
  <w:footnote w:id="96">
    <w:p w14:paraId="7E286326" w14:textId="77777777" w:rsidR="001050CB" w:rsidRPr="00BE6681" w:rsidRDefault="001050CB" w:rsidP="00536AF3">
      <w:pPr>
        <w:pStyle w:val="FootnoteText"/>
        <w:tabs>
          <w:tab w:val="num" w:pos="0"/>
        </w:tabs>
        <w:jc w:val="both"/>
        <w:rPr>
          <w:rFonts w:asciiTheme="majorHAnsi" w:hAnsiTheme="majorHAnsi"/>
          <w:sz w:val="16"/>
          <w:szCs w:val="16"/>
          <w:lang w:val="es-VE"/>
        </w:rPr>
      </w:pPr>
      <w:r w:rsidRPr="00BE6681">
        <w:rPr>
          <w:rStyle w:val="FootnoteReference"/>
          <w:rFonts w:asciiTheme="majorHAnsi" w:hAnsiTheme="majorHAnsi"/>
          <w:color w:val="auto"/>
          <w:sz w:val="16"/>
          <w:szCs w:val="16"/>
        </w:rPr>
        <w:footnoteRef/>
      </w:r>
      <w:r w:rsidRPr="00BE6681">
        <w:rPr>
          <w:rFonts w:asciiTheme="majorHAnsi" w:hAnsiTheme="majorHAnsi"/>
          <w:color w:val="auto"/>
          <w:sz w:val="16"/>
          <w:szCs w:val="16"/>
          <w:lang w:val="es-VE"/>
        </w:rPr>
        <w:t xml:space="preserve"> Corte IDH, Caso López Lone y otros Vs. </w:t>
      </w:r>
      <w:r w:rsidRPr="00BE6681">
        <w:rPr>
          <w:rFonts w:asciiTheme="majorHAnsi" w:hAnsiTheme="majorHAnsi"/>
          <w:color w:val="auto"/>
          <w:sz w:val="16"/>
          <w:szCs w:val="16"/>
          <w:lang w:val="es-CO"/>
        </w:rPr>
        <w:t xml:space="preserve">Honduras. </w:t>
      </w:r>
      <w:r w:rsidRPr="00BE6681">
        <w:rPr>
          <w:rFonts w:asciiTheme="majorHAnsi" w:hAnsiTheme="majorHAnsi"/>
          <w:color w:val="auto"/>
          <w:sz w:val="16"/>
          <w:szCs w:val="16"/>
          <w:lang w:val="es-VE"/>
        </w:rPr>
        <w:t xml:space="preserve">Excepción Preliminar, Fondo, Reparaciones y Costas. Sentencia de 05 de octubre de 2015. Serie C No. 302, párr. 257 y Caso Maldonado Ordoñez Vs. </w:t>
      </w:r>
      <w:r w:rsidRPr="00BE6681">
        <w:rPr>
          <w:rFonts w:asciiTheme="majorHAnsi" w:hAnsiTheme="majorHAnsi"/>
          <w:color w:val="auto"/>
          <w:sz w:val="16"/>
          <w:szCs w:val="16"/>
          <w:lang w:val="es-CO"/>
        </w:rPr>
        <w:t xml:space="preserve">Guatemala. </w:t>
      </w:r>
      <w:r w:rsidRPr="00BE6681">
        <w:rPr>
          <w:rFonts w:asciiTheme="majorHAnsi" w:hAnsiTheme="majorHAnsi"/>
          <w:color w:val="auto"/>
          <w:sz w:val="16"/>
          <w:szCs w:val="16"/>
          <w:lang w:val="es-VE"/>
        </w:rPr>
        <w:t xml:space="preserve">Excepción Preliminar, Fondo, Reparaciones y Costas. Sentencia de 3 de mayo de 2016. Serie C No. 311, párr. 89. </w:t>
      </w:r>
      <w:r w:rsidRPr="00BE6681">
        <w:rPr>
          <w:rFonts w:asciiTheme="majorHAnsi" w:hAnsiTheme="majorHAnsi"/>
          <w:color w:val="auto"/>
          <w:sz w:val="16"/>
          <w:szCs w:val="16"/>
          <w:lang w:val="es-US"/>
        </w:rPr>
        <w:t xml:space="preserve">Corte IDH. </w:t>
      </w:r>
      <w:r w:rsidRPr="00BE6681">
        <w:rPr>
          <w:rFonts w:asciiTheme="majorHAnsi" w:hAnsiTheme="majorHAnsi"/>
          <w:bCs/>
          <w:color w:val="auto"/>
          <w:sz w:val="16"/>
          <w:szCs w:val="16"/>
          <w:lang w:val="es-AR"/>
        </w:rPr>
        <w:t xml:space="preserve">Caso Baena Ricardo y otros Vs. Panamá. </w:t>
      </w:r>
      <w:r w:rsidRPr="00BE6681">
        <w:rPr>
          <w:rFonts w:asciiTheme="majorHAnsi" w:hAnsiTheme="majorHAnsi"/>
          <w:color w:val="auto"/>
          <w:sz w:val="16"/>
          <w:szCs w:val="16"/>
          <w:lang w:val="es-AR"/>
        </w:rPr>
        <w:t>Fondo, Reparaciones y Costas. Sentencia de 2 de febrero de 2001. Serie C No. 72, párrs. 106 y 108.</w:t>
      </w:r>
    </w:p>
  </w:footnote>
  <w:footnote w:id="97">
    <w:p w14:paraId="6E70AFD3" w14:textId="61F6BCED" w:rsidR="001050CB" w:rsidRPr="00BE6681" w:rsidRDefault="001050CB" w:rsidP="00536AF3">
      <w:pPr>
        <w:pStyle w:val="FootnoteText"/>
        <w:jc w:val="both"/>
        <w:rPr>
          <w:rFonts w:asciiTheme="majorHAnsi" w:hAnsiTheme="majorHAnsi"/>
          <w:sz w:val="16"/>
          <w:szCs w:val="16"/>
          <w:lang w:val="es-VE"/>
        </w:rPr>
      </w:pPr>
      <w:r w:rsidRPr="00BE6681">
        <w:rPr>
          <w:rStyle w:val="FootnoteReference"/>
          <w:rFonts w:asciiTheme="majorHAnsi" w:hAnsiTheme="majorHAnsi"/>
          <w:sz w:val="16"/>
          <w:szCs w:val="16"/>
        </w:rPr>
        <w:footnoteRef/>
      </w:r>
      <w:r w:rsidRPr="00BE6681">
        <w:rPr>
          <w:rStyle w:val="FootnoteReference"/>
          <w:rFonts w:asciiTheme="majorHAnsi" w:hAnsiTheme="majorHAnsi"/>
          <w:sz w:val="16"/>
          <w:szCs w:val="16"/>
          <w:lang w:val="es-VE"/>
        </w:rPr>
        <w:t xml:space="preserve"> </w:t>
      </w:r>
      <w:r w:rsidRPr="00BE6681">
        <w:rPr>
          <w:rFonts w:asciiTheme="majorHAnsi" w:hAnsiTheme="majorHAnsi"/>
          <w:sz w:val="16"/>
          <w:szCs w:val="16"/>
          <w:lang w:val="es-VE"/>
        </w:rPr>
        <w:t>CIDH, Garantías para la independencia de las y los operadores de justicia. Hacia el fortalecimiento del acce</w:t>
      </w:r>
      <w:r>
        <w:rPr>
          <w:rFonts w:asciiTheme="majorHAnsi" w:hAnsiTheme="majorHAnsi"/>
          <w:sz w:val="16"/>
          <w:szCs w:val="16"/>
          <w:lang w:val="es-VE"/>
        </w:rPr>
        <w:t xml:space="preserve">so a la justicia y el estado de </w:t>
      </w:r>
      <w:r w:rsidRPr="00BE6681">
        <w:rPr>
          <w:rFonts w:asciiTheme="majorHAnsi" w:hAnsiTheme="majorHAnsi"/>
          <w:sz w:val="16"/>
          <w:szCs w:val="16"/>
          <w:lang w:val="es-VE"/>
        </w:rPr>
        <w:t>derecho en las Américas, OEA/ser.L/V/II.Doc.44, 5 de diciembre de 2013, párr. 208.</w:t>
      </w:r>
    </w:p>
  </w:footnote>
  <w:footnote w:id="98">
    <w:p w14:paraId="741617C7" w14:textId="77777777" w:rsidR="001050CB" w:rsidRPr="00BE6681" w:rsidRDefault="001050CB" w:rsidP="00536AF3">
      <w:pPr>
        <w:pStyle w:val="FootnoteText"/>
        <w:tabs>
          <w:tab w:val="num" w:pos="0"/>
        </w:tabs>
        <w:jc w:val="both"/>
        <w:rPr>
          <w:rFonts w:asciiTheme="majorHAnsi" w:hAnsiTheme="majorHAnsi"/>
          <w:sz w:val="16"/>
          <w:szCs w:val="16"/>
          <w:lang w:val="es-ES"/>
        </w:rPr>
      </w:pPr>
      <w:r w:rsidRPr="00BE6681">
        <w:rPr>
          <w:rStyle w:val="FootnoteReference"/>
          <w:rFonts w:asciiTheme="majorHAnsi" w:hAnsiTheme="majorHAnsi"/>
          <w:sz w:val="16"/>
          <w:szCs w:val="16"/>
        </w:rPr>
        <w:footnoteRef/>
      </w:r>
      <w:r w:rsidRPr="001050CB">
        <w:rPr>
          <w:rFonts w:asciiTheme="majorHAnsi" w:hAnsiTheme="majorHAnsi"/>
          <w:sz w:val="16"/>
          <w:szCs w:val="16"/>
          <w:lang w:val="es-PE"/>
        </w:rPr>
        <w:t xml:space="preserve"> Corte IDH, </w:t>
      </w:r>
      <w:r w:rsidRPr="001050CB">
        <w:rPr>
          <w:rFonts w:asciiTheme="majorHAnsi" w:hAnsiTheme="majorHAnsi"/>
          <w:iCs/>
          <w:sz w:val="16"/>
          <w:szCs w:val="16"/>
          <w:lang w:val="es-PE"/>
        </w:rPr>
        <w:t xml:space="preserve">Caso Kimel Vs. </w:t>
      </w:r>
      <w:r w:rsidRPr="00BE6681">
        <w:rPr>
          <w:rFonts w:asciiTheme="majorHAnsi" w:hAnsiTheme="majorHAnsi"/>
          <w:iCs/>
          <w:sz w:val="16"/>
          <w:szCs w:val="16"/>
          <w:lang w:val="es-ES"/>
        </w:rPr>
        <w:t>Argentina</w:t>
      </w:r>
      <w:r w:rsidRPr="00BE6681">
        <w:rPr>
          <w:rFonts w:asciiTheme="majorHAnsi" w:hAnsiTheme="majorHAnsi"/>
          <w:sz w:val="16"/>
          <w:szCs w:val="16"/>
          <w:lang w:val="es-ES"/>
        </w:rPr>
        <w:t>. Sentencia de 2 de mayo de 2008. Serie C No. 177, párr. 59 y ss.</w:t>
      </w:r>
    </w:p>
  </w:footnote>
  <w:footnote w:id="99">
    <w:p w14:paraId="0E9B1D50" w14:textId="77777777" w:rsidR="001050CB" w:rsidRPr="00BE6681" w:rsidRDefault="001050CB" w:rsidP="00536AF3">
      <w:pPr>
        <w:pStyle w:val="FootnoteText"/>
        <w:jc w:val="both"/>
        <w:rPr>
          <w:rFonts w:asciiTheme="majorHAnsi" w:hAnsiTheme="majorHAnsi"/>
          <w:b/>
          <w:sz w:val="16"/>
          <w:szCs w:val="16"/>
          <w:lang w:val="es-VE"/>
        </w:rPr>
      </w:pPr>
      <w:r w:rsidRPr="00BE6681">
        <w:rPr>
          <w:rStyle w:val="FootnoteReference"/>
          <w:rFonts w:asciiTheme="majorHAnsi" w:hAnsiTheme="majorHAnsi"/>
          <w:sz w:val="16"/>
          <w:szCs w:val="16"/>
        </w:rPr>
        <w:footnoteRef/>
      </w:r>
      <w:r w:rsidRPr="00BE6681">
        <w:rPr>
          <w:rFonts w:asciiTheme="majorHAnsi" w:hAnsiTheme="majorHAnsi"/>
          <w:sz w:val="16"/>
          <w:szCs w:val="16"/>
          <w:lang w:val="es-VE"/>
        </w:rPr>
        <w:t xml:space="preserve"> </w:t>
      </w:r>
      <w:r w:rsidRPr="00BE6681">
        <w:rPr>
          <w:rStyle w:val="Strong"/>
          <w:rFonts w:asciiTheme="majorHAnsi" w:hAnsiTheme="majorHAnsi"/>
          <w:b w:val="0"/>
          <w:sz w:val="16"/>
          <w:szCs w:val="16"/>
          <w:shd w:val="clear" w:color="auto" w:fill="FFFFFF"/>
          <w:lang w:val="es-ES"/>
        </w:rPr>
        <w:t>CIDH, Garantías para la independencia de las y los operadores de justicia. Hacia el fortalecimiento del acceso a la justicia y el estado de derecho en las Américas, OEA/Ser.L/V/II.Doc.44, 5 de diciembre de 2013, párr.211.</w:t>
      </w:r>
    </w:p>
  </w:footnote>
  <w:footnote w:id="100">
    <w:p w14:paraId="5CDA0C61" w14:textId="3E489F52"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sidRPr="00BE6681">
        <w:rPr>
          <w:rFonts w:asciiTheme="majorHAnsi" w:hAnsiTheme="majorHAnsi"/>
          <w:sz w:val="16"/>
          <w:szCs w:val="16"/>
          <w:lang w:val="pt-BR"/>
        </w:rPr>
        <w:t xml:space="preserve"> </w:t>
      </w:r>
      <w:r w:rsidRPr="00BE6681">
        <w:rPr>
          <w:rStyle w:val="Strong"/>
          <w:rFonts w:asciiTheme="majorHAnsi" w:hAnsiTheme="majorHAnsi"/>
          <w:b w:val="0"/>
          <w:sz w:val="16"/>
          <w:szCs w:val="16"/>
          <w:lang w:val="pt-BR"/>
        </w:rPr>
        <w:t xml:space="preserve">Corte IDH. Caso Ricardo Canese Vs. </w:t>
      </w:r>
      <w:r w:rsidRPr="00BE6681">
        <w:rPr>
          <w:rStyle w:val="Strong"/>
          <w:rFonts w:asciiTheme="majorHAnsi" w:hAnsiTheme="majorHAnsi"/>
          <w:b w:val="0"/>
          <w:sz w:val="16"/>
          <w:szCs w:val="16"/>
          <w:lang w:val="es-CO"/>
        </w:rPr>
        <w:t xml:space="preserve">Paraguay. Fondo, Reparaciones y Costas. Sentencia de 31 de agosto de 2004. Serie C No. 111. Párr. 175. </w:t>
      </w:r>
    </w:p>
  </w:footnote>
  <w:footnote w:id="101">
    <w:p w14:paraId="6EA3FB1B" w14:textId="2758CD51"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sidRPr="00C364C3">
        <w:rPr>
          <w:rFonts w:asciiTheme="majorHAnsi" w:hAnsiTheme="majorHAnsi"/>
          <w:sz w:val="16"/>
          <w:szCs w:val="16"/>
          <w:lang w:val="es-CO"/>
        </w:rPr>
        <w:t xml:space="preserve"> </w:t>
      </w:r>
      <w:r w:rsidRPr="00C364C3">
        <w:rPr>
          <w:rStyle w:val="Strong"/>
          <w:rFonts w:asciiTheme="majorHAnsi" w:hAnsiTheme="majorHAnsi"/>
          <w:b w:val="0"/>
          <w:sz w:val="16"/>
          <w:szCs w:val="16"/>
          <w:lang w:val="es-CO"/>
        </w:rPr>
        <w:t xml:space="preserve">Corte IDH. Caso Ricardo Canese Vs. </w:t>
      </w:r>
      <w:r w:rsidRPr="00BE6681">
        <w:rPr>
          <w:rStyle w:val="Strong"/>
          <w:rFonts w:asciiTheme="majorHAnsi" w:hAnsiTheme="majorHAnsi"/>
          <w:b w:val="0"/>
          <w:sz w:val="16"/>
          <w:szCs w:val="16"/>
          <w:lang w:val="es-CO"/>
        </w:rPr>
        <w:t xml:space="preserve">Paraguay. Fondo, Reparaciones y Costas. Sentencia de 31 de agosto de 2004. Serie C No. 111. Párr. 178. </w:t>
      </w:r>
    </w:p>
  </w:footnote>
  <w:footnote w:id="102">
    <w:p w14:paraId="35625F27" w14:textId="7E44788A"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sidRPr="00C364C3">
        <w:rPr>
          <w:rFonts w:asciiTheme="majorHAnsi" w:hAnsiTheme="majorHAnsi"/>
          <w:sz w:val="16"/>
          <w:szCs w:val="16"/>
          <w:lang w:val="es-CO"/>
        </w:rPr>
        <w:t xml:space="preserve"> </w:t>
      </w:r>
      <w:r w:rsidRPr="00C364C3">
        <w:rPr>
          <w:rStyle w:val="Strong"/>
          <w:rFonts w:asciiTheme="majorHAnsi" w:hAnsiTheme="majorHAnsi"/>
          <w:b w:val="0"/>
          <w:sz w:val="16"/>
          <w:szCs w:val="16"/>
          <w:lang w:val="es-CO"/>
        </w:rPr>
        <w:t xml:space="preserve">Corte IDH. Caso Ricardo Canese Vs. </w:t>
      </w:r>
      <w:r w:rsidRPr="00BE6681">
        <w:rPr>
          <w:rStyle w:val="Strong"/>
          <w:rFonts w:asciiTheme="majorHAnsi" w:hAnsiTheme="majorHAnsi"/>
          <w:b w:val="0"/>
          <w:sz w:val="16"/>
          <w:szCs w:val="16"/>
          <w:lang w:val="es-CO"/>
        </w:rPr>
        <w:t xml:space="preserve">Paraguay. Fondo, Reparaciones y Costas. Sentencia de 31 de agosto de 2004. Serie C No. 111. Párr. 176. </w:t>
      </w:r>
    </w:p>
  </w:footnote>
  <w:footnote w:id="103">
    <w:p w14:paraId="4C231970" w14:textId="50978020"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sidRPr="00BE6681">
        <w:rPr>
          <w:rFonts w:asciiTheme="majorHAnsi" w:hAnsiTheme="majorHAnsi"/>
          <w:sz w:val="16"/>
          <w:szCs w:val="16"/>
          <w:lang w:val="es-CO"/>
        </w:rPr>
        <w:t xml:space="preserve"> </w:t>
      </w:r>
      <w:r w:rsidRPr="00BE6681">
        <w:rPr>
          <w:rStyle w:val="Strong"/>
          <w:rFonts w:asciiTheme="majorHAnsi" w:hAnsiTheme="majorHAnsi"/>
          <w:b w:val="0"/>
          <w:sz w:val="16"/>
          <w:szCs w:val="16"/>
          <w:lang w:val="es-CO"/>
        </w:rPr>
        <w:t xml:space="preserve">Corte IDH. Caso Ricardo Canese Vs. Paraguay. Fondo, Reparaciones y Costas. Sentencia de 31 de agosto de 2004. Serie C No. 111. Párr. 179. </w:t>
      </w:r>
    </w:p>
  </w:footnote>
  <w:footnote w:id="104">
    <w:p w14:paraId="2B16BC8E" w14:textId="31A72620"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sidRPr="00C364C3">
        <w:rPr>
          <w:rFonts w:asciiTheme="majorHAnsi" w:hAnsiTheme="majorHAnsi"/>
          <w:sz w:val="16"/>
          <w:szCs w:val="16"/>
          <w:lang w:val="es-CO"/>
        </w:rPr>
        <w:t xml:space="preserve"> </w:t>
      </w:r>
      <w:r w:rsidRPr="00C364C3">
        <w:rPr>
          <w:rStyle w:val="Strong"/>
          <w:rFonts w:asciiTheme="majorHAnsi" w:hAnsiTheme="majorHAnsi"/>
          <w:b w:val="0"/>
          <w:sz w:val="16"/>
          <w:szCs w:val="16"/>
          <w:lang w:val="es-CO"/>
        </w:rPr>
        <w:t xml:space="preserve">Corte IDH. Caso Ricardo Canese Vs. </w:t>
      </w:r>
      <w:r w:rsidRPr="00BE6681">
        <w:rPr>
          <w:rStyle w:val="Strong"/>
          <w:rFonts w:asciiTheme="majorHAnsi" w:hAnsiTheme="majorHAnsi"/>
          <w:b w:val="0"/>
          <w:sz w:val="16"/>
          <w:szCs w:val="16"/>
          <w:lang w:val="es-CO"/>
        </w:rPr>
        <w:t xml:space="preserve">Paraguay. Fondo, Reparaciones y Costas. Sentencia de 31 de agosto de 2004. Serie C No. 111. Párr. 181. Citando: </w:t>
      </w:r>
      <w:r w:rsidRPr="00BE6681">
        <w:rPr>
          <w:rFonts w:asciiTheme="majorHAnsi" w:hAnsiTheme="majorHAnsi"/>
          <w:i/>
          <w:sz w:val="16"/>
          <w:szCs w:val="16"/>
          <w:lang w:val="es-CO"/>
        </w:rPr>
        <w:t>Cfr.</w:t>
      </w:r>
      <w:r w:rsidRPr="00BE6681">
        <w:rPr>
          <w:rFonts w:asciiTheme="majorHAnsi" w:hAnsiTheme="majorHAnsi"/>
          <w:sz w:val="16"/>
          <w:szCs w:val="16"/>
          <w:lang w:val="es-CO"/>
        </w:rPr>
        <w:t xml:space="preserve"> </w:t>
      </w:r>
      <w:r w:rsidRPr="00BE6681">
        <w:rPr>
          <w:rFonts w:asciiTheme="majorHAnsi" w:hAnsiTheme="majorHAnsi"/>
          <w:i/>
          <w:sz w:val="16"/>
          <w:szCs w:val="16"/>
          <w:lang w:val="es-CO"/>
        </w:rPr>
        <w:t>Condición Jurídica y Derechos de los Migrantes Indocumentados.</w:t>
      </w:r>
      <w:r w:rsidRPr="00BE6681">
        <w:rPr>
          <w:rFonts w:asciiTheme="majorHAnsi" w:hAnsiTheme="majorHAnsi"/>
          <w:sz w:val="16"/>
          <w:szCs w:val="16"/>
          <w:lang w:val="es-CO"/>
        </w:rPr>
        <w:t xml:space="preserve"> Opinión Consultiva OC-18/03 de 17 de septiembre  de 2003. Serie A No. 18, párr. 21; y</w:t>
      </w:r>
      <w:r w:rsidRPr="00BE6681">
        <w:rPr>
          <w:rFonts w:asciiTheme="majorHAnsi" w:hAnsiTheme="majorHAnsi"/>
          <w:i/>
          <w:sz w:val="16"/>
          <w:szCs w:val="16"/>
          <w:lang w:val="es-CO"/>
        </w:rPr>
        <w:t xml:space="preserve"> </w:t>
      </w:r>
      <w:smartTag w:uri="urn:schemas-microsoft-com:office:smarttags" w:element="PersonName">
        <w:smartTagPr>
          <w:attr w:name="ProductID" w:val="La Colegiaci￳n Obligatoria"/>
        </w:smartTagPr>
        <w:r w:rsidRPr="00BE6681">
          <w:rPr>
            <w:rFonts w:asciiTheme="majorHAnsi" w:hAnsiTheme="majorHAnsi"/>
            <w:i/>
            <w:sz w:val="16"/>
            <w:szCs w:val="16"/>
            <w:lang w:val="es-CO"/>
          </w:rPr>
          <w:t>La Colegiación Obligatoria</w:t>
        </w:r>
      </w:smartTag>
      <w:r w:rsidRPr="00BE6681">
        <w:rPr>
          <w:rFonts w:asciiTheme="majorHAnsi" w:hAnsiTheme="majorHAnsi"/>
          <w:i/>
          <w:sz w:val="16"/>
          <w:szCs w:val="16"/>
          <w:lang w:val="es-CO"/>
        </w:rPr>
        <w:t xml:space="preserve"> de Periodistas</w:t>
      </w:r>
      <w:r w:rsidRPr="00BE6681">
        <w:rPr>
          <w:rFonts w:asciiTheme="majorHAnsi" w:hAnsiTheme="majorHAnsi"/>
          <w:sz w:val="16"/>
          <w:szCs w:val="16"/>
          <w:lang w:val="es-CO"/>
        </w:rPr>
        <w:t xml:space="preserve"> (arts. 13 y 29 Convención Americana sobre Derechos Humanos). Opinión Consultiva OC-5/85 del 13 de noviembre de 1985. Serie A No. 5, párr. 52.</w:t>
      </w:r>
    </w:p>
  </w:footnote>
  <w:footnote w:id="105">
    <w:p w14:paraId="7B97964A" w14:textId="50144ED7"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sidRPr="00BE6681">
        <w:rPr>
          <w:rFonts w:asciiTheme="majorHAnsi" w:hAnsiTheme="majorHAnsi"/>
          <w:sz w:val="16"/>
          <w:szCs w:val="16"/>
          <w:lang w:val="es-CO"/>
        </w:rPr>
        <w:t xml:space="preserve"> El artículo 8.1 de la Convención establece que: </w:t>
      </w:r>
      <w:r w:rsidRPr="00BE6681">
        <w:rPr>
          <w:rFonts w:asciiTheme="majorHAnsi" w:hAnsiTheme="majorHAnsi" w:cs="Tahoma"/>
          <w:sz w:val="16"/>
          <w:szCs w:val="16"/>
          <w:lang w:val="es-CO"/>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106">
    <w:p w14:paraId="6DD53F57" w14:textId="1D35438B" w:rsidR="001050CB" w:rsidRPr="00BE6681" w:rsidRDefault="001050CB" w:rsidP="00536AF3">
      <w:pPr>
        <w:pStyle w:val="FootnoteText"/>
        <w:jc w:val="both"/>
        <w:rPr>
          <w:rFonts w:asciiTheme="majorHAnsi" w:hAnsiTheme="majorHAnsi"/>
          <w:sz w:val="16"/>
          <w:szCs w:val="16"/>
          <w:lang w:val="es-VE"/>
        </w:rPr>
      </w:pPr>
      <w:r w:rsidRPr="00BE6681">
        <w:rPr>
          <w:rStyle w:val="FootnoteReference"/>
          <w:rFonts w:asciiTheme="majorHAnsi" w:hAnsiTheme="majorHAnsi"/>
          <w:sz w:val="16"/>
          <w:szCs w:val="16"/>
        </w:rPr>
        <w:footnoteRef/>
      </w:r>
      <w:r w:rsidRPr="00F83BAE">
        <w:rPr>
          <w:rFonts w:asciiTheme="majorHAnsi" w:hAnsiTheme="majorHAnsi"/>
          <w:sz w:val="16"/>
          <w:szCs w:val="16"/>
          <w:lang w:val="es-CO"/>
        </w:rPr>
        <w:t xml:space="preserve"> CIDH. Informe No. 72/17. Caso 13.019. Informe de Fondo. Eduardo Rico. Argentina. 5 de julio de 2017. Párr. </w:t>
      </w:r>
      <w:r>
        <w:rPr>
          <w:rFonts w:asciiTheme="majorHAnsi" w:hAnsiTheme="majorHAnsi"/>
          <w:sz w:val="16"/>
          <w:szCs w:val="16"/>
          <w:lang w:val="es-CO"/>
        </w:rPr>
        <w:t xml:space="preserve">116; y </w:t>
      </w:r>
      <w:r w:rsidRPr="00F83BAE">
        <w:rPr>
          <w:rFonts w:asciiTheme="majorHAnsi" w:hAnsiTheme="majorHAnsi"/>
          <w:noProof/>
          <w:sz w:val="16"/>
          <w:szCs w:val="16"/>
          <w:lang w:val="es-CO"/>
        </w:rPr>
        <w:t xml:space="preserve">Corte IDH, Caso Maldonado Ordoñez Vs. </w:t>
      </w:r>
      <w:r w:rsidRPr="00BE6681">
        <w:rPr>
          <w:rFonts w:asciiTheme="majorHAnsi" w:hAnsiTheme="majorHAnsi"/>
          <w:noProof/>
          <w:sz w:val="16"/>
          <w:szCs w:val="16"/>
          <w:lang w:val="es-CO"/>
        </w:rPr>
        <w:t xml:space="preserve">Guatemala. </w:t>
      </w:r>
      <w:r w:rsidRPr="00BE6681">
        <w:rPr>
          <w:rFonts w:asciiTheme="majorHAnsi" w:hAnsiTheme="majorHAnsi"/>
          <w:noProof/>
          <w:sz w:val="16"/>
          <w:szCs w:val="16"/>
          <w:lang w:val="es-VE"/>
        </w:rPr>
        <w:t>Excepcion Preliminar, Fondo, Reparaciones y Costas. Sentencia de 3 de Mayo de 2016. Serie C No. 311, párr. 87.</w:t>
      </w:r>
    </w:p>
  </w:footnote>
  <w:footnote w:id="107">
    <w:p w14:paraId="01476F08" w14:textId="3E49AEDC" w:rsidR="001050CB" w:rsidRPr="008752B9" w:rsidRDefault="001050CB" w:rsidP="00536AF3">
      <w:pPr>
        <w:pStyle w:val="FootnoteText"/>
        <w:spacing w:after="120"/>
        <w:jc w:val="both"/>
        <w:rPr>
          <w:rFonts w:ascii="Cambria" w:hAnsi="Cambria"/>
          <w:sz w:val="16"/>
          <w:szCs w:val="16"/>
          <w:lang w:val="es-ES"/>
        </w:rPr>
      </w:pPr>
      <w:r w:rsidRPr="008752B9">
        <w:rPr>
          <w:rStyle w:val="FootnoteReference"/>
          <w:rFonts w:ascii="Cambria" w:hAnsi="Cambria"/>
          <w:sz w:val="16"/>
          <w:szCs w:val="16"/>
        </w:rPr>
        <w:footnoteRef/>
      </w:r>
      <w:r w:rsidRPr="008752B9">
        <w:rPr>
          <w:rFonts w:ascii="Cambria" w:hAnsi="Cambria"/>
          <w:sz w:val="16"/>
          <w:szCs w:val="16"/>
          <w:lang w:val="es-ES"/>
        </w:rPr>
        <w:t xml:space="preserve"> Corte IDH. </w:t>
      </w:r>
      <w:r w:rsidRPr="008752B9">
        <w:rPr>
          <w:rFonts w:ascii="Cambria" w:hAnsi="Cambria"/>
          <w:bCs/>
          <w:sz w:val="16"/>
          <w:szCs w:val="16"/>
          <w:lang w:val="es-ES"/>
        </w:rPr>
        <w:t>C</w:t>
      </w:r>
      <w:r w:rsidRPr="008752B9">
        <w:rPr>
          <w:rFonts w:ascii="Cambria" w:hAnsi="Cambria"/>
          <w:bCs/>
          <w:i/>
          <w:sz w:val="16"/>
          <w:szCs w:val="16"/>
          <w:lang w:val="es-ES"/>
        </w:rPr>
        <w:t xml:space="preserve">aso Chocrón Chocrón Vs. Venezuela. </w:t>
      </w:r>
      <w:r w:rsidRPr="008752B9">
        <w:rPr>
          <w:rFonts w:ascii="Cambria" w:hAnsi="Cambria"/>
          <w:i/>
          <w:sz w:val="16"/>
          <w:szCs w:val="16"/>
          <w:lang w:val="es-ES"/>
        </w:rPr>
        <w:t>Excepción Preliminar, Fondo, Reparaciones y Costas.</w:t>
      </w:r>
      <w:r>
        <w:rPr>
          <w:rFonts w:ascii="Cambria" w:hAnsi="Cambria"/>
          <w:sz w:val="16"/>
          <w:szCs w:val="16"/>
          <w:lang w:val="es-ES"/>
        </w:rPr>
        <w:t xml:space="preserve"> Sentencia de 1 de julio de </w:t>
      </w:r>
      <w:r w:rsidRPr="008752B9">
        <w:rPr>
          <w:rFonts w:ascii="Cambria" w:hAnsi="Cambria"/>
          <w:sz w:val="16"/>
          <w:szCs w:val="16"/>
          <w:lang w:val="es-ES"/>
        </w:rPr>
        <w:t>2011. Serie C No. 227, párr.118.</w:t>
      </w:r>
    </w:p>
  </w:footnote>
  <w:footnote w:id="108">
    <w:p w14:paraId="2C7B345D" w14:textId="77777777" w:rsidR="001050CB" w:rsidRPr="008752B9" w:rsidRDefault="001050CB" w:rsidP="00536AF3">
      <w:pPr>
        <w:pStyle w:val="FootnoteText"/>
        <w:spacing w:after="120"/>
        <w:jc w:val="both"/>
        <w:rPr>
          <w:rFonts w:ascii="Cambria" w:hAnsi="Cambria"/>
          <w:sz w:val="16"/>
          <w:szCs w:val="16"/>
          <w:lang w:val="es-ES"/>
        </w:rPr>
      </w:pPr>
      <w:r w:rsidRPr="008752B9">
        <w:rPr>
          <w:rStyle w:val="FootnoteReference"/>
          <w:rFonts w:ascii="Cambria" w:hAnsi="Cambria"/>
          <w:sz w:val="16"/>
          <w:szCs w:val="16"/>
        </w:rPr>
        <w:footnoteRef/>
      </w:r>
      <w:r w:rsidRPr="008752B9">
        <w:rPr>
          <w:rFonts w:ascii="Cambria" w:hAnsi="Cambria"/>
          <w:sz w:val="16"/>
          <w:szCs w:val="16"/>
          <w:lang w:val="es-ES"/>
        </w:rPr>
        <w:t xml:space="preserve"> Corte IDH.</w:t>
      </w:r>
      <w:r w:rsidRPr="008752B9">
        <w:rPr>
          <w:rFonts w:ascii="Cambria" w:hAnsi="Cambria"/>
          <w:bCs/>
          <w:sz w:val="16"/>
          <w:szCs w:val="16"/>
          <w:lang w:val="es-ES"/>
        </w:rPr>
        <w:t xml:space="preserve"> </w:t>
      </w:r>
      <w:r w:rsidRPr="008752B9">
        <w:rPr>
          <w:rFonts w:ascii="Cambria" w:hAnsi="Cambria"/>
          <w:bCs/>
          <w:i/>
          <w:sz w:val="16"/>
          <w:szCs w:val="16"/>
          <w:lang w:val="es-ES"/>
        </w:rPr>
        <w:t>Caso Chocrón Chocrón Vs. Venezuela</w:t>
      </w:r>
      <w:r w:rsidRPr="008752B9">
        <w:rPr>
          <w:rFonts w:ascii="Cambria" w:hAnsi="Cambria"/>
          <w:bCs/>
          <w:sz w:val="16"/>
          <w:szCs w:val="16"/>
          <w:lang w:val="es-ES"/>
        </w:rPr>
        <w:t xml:space="preserve">. </w:t>
      </w:r>
      <w:r w:rsidRPr="008752B9">
        <w:rPr>
          <w:rFonts w:ascii="Cambria" w:hAnsi="Cambria"/>
          <w:sz w:val="16"/>
          <w:szCs w:val="16"/>
          <w:lang w:val="es-ES"/>
        </w:rPr>
        <w:t xml:space="preserve">Excepción Preliminar, Fondo, Reparaciones y Costas. Sentencia de 1 de julio de 2011. Serie C No. 227, párr.120. </w:t>
      </w:r>
    </w:p>
  </w:footnote>
  <w:footnote w:id="109">
    <w:p w14:paraId="0D949EF1" w14:textId="77777777" w:rsidR="001050CB" w:rsidRPr="008752B9" w:rsidRDefault="001050CB" w:rsidP="00536AF3">
      <w:pPr>
        <w:pStyle w:val="FootnoteText"/>
        <w:spacing w:after="120"/>
        <w:jc w:val="both"/>
        <w:rPr>
          <w:rFonts w:ascii="Cambria" w:hAnsi="Cambria"/>
          <w:sz w:val="16"/>
          <w:szCs w:val="16"/>
          <w:lang w:val="es-ES"/>
        </w:rPr>
      </w:pPr>
      <w:r w:rsidRPr="008752B9">
        <w:rPr>
          <w:rStyle w:val="FootnoteReference"/>
          <w:rFonts w:ascii="Cambria" w:hAnsi="Cambria"/>
          <w:sz w:val="16"/>
          <w:szCs w:val="16"/>
        </w:rPr>
        <w:footnoteRef/>
      </w:r>
      <w:r w:rsidRPr="008752B9">
        <w:rPr>
          <w:rFonts w:ascii="Cambria" w:hAnsi="Cambria"/>
          <w:sz w:val="16"/>
          <w:szCs w:val="16"/>
          <w:lang w:val="es-ES"/>
        </w:rPr>
        <w:t xml:space="preserve"> Corte IDH. </w:t>
      </w:r>
      <w:r w:rsidRPr="008752B9">
        <w:rPr>
          <w:rFonts w:ascii="Cambria" w:hAnsi="Cambria"/>
          <w:bCs/>
          <w:i/>
          <w:sz w:val="16"/>
          <w:szCs w:val="16"/>
          <w:lang w:val="es-ES"/>
        </w:rPr>
        <w:t>Caso Chocrón Chocrón Vs. Venezuela</w:t>
      </w:r>
      <w:r w:rsidRPr="008752B9">
        <w:rPr>
          <w:rFonts w:ascii="Cambria" w:hAnsi="Cambria"/>
          <w:bCs/>
          <w:sz w:val="16"/>
          <w:szCs w:val="16"/>
          <w:lang w:val="es-ES"/>
        </w:rPr>
        <w:t xml:space="preserve">. </w:t>
      </w:r>
      <w:r w:rsidRPr="008752B9">
        <w:rPr>
          <w:rFonts w:ascii="Cambria" w:hAnsi="Cambria"/>
          <w:sz w:val="16"/>
          <w:szCs w:val="16"/>
          <w:lang w:val="es-ES"/>
        </w:rPr>
        <w:t xml:space="preserve">Excepción Preliminar, Fondo, Reparaciones y Costas. Sentencia de 1 de julio de 2011. Serie C No. 227, párr.120. </w:t>
      </w:r>
    </w:p>
  </w:footnote>
  <w:footnote w:id="110">
    <w:p w14:paraId="43D57921" w14:textId="4301B045" w:rsidR="001050CB" w:rsidRPr="00812B0F" w:rsidRDefault="001050CB" w:rsidP="00536AF3">
      <w:pPr>
        <w:pStyle w:val="ListParagraph"/>
        <w:ind w:left="0"/>
        <w:jc w:val="both"/>
        <w:rPr>
          <w:rFonts w:asciiTheme="majorHAnsi" w:hAnsiTheme="majorHAnsi"/>
          <w:b/>
          <w:sz w:val="16"/>
          <w:szCs w:val="16"/>
          <w:lang w:val="es-CO"/>
        </w:rPr>
      </w:pPr>
      <w:r w:rsidRPr="00BE6681">
        <w:rPr>
          <w:rStyle w:val="FootnoteReference"/>
          <w:rFonts w:asciiTheme="majorHAnsi" w:hAnsiTheme="majorHAnsi"/>
          <w:sz w:val="16"/>
          <w:szCs w:val="16"/>
        </w:rPr>
        <w:footnoteRef/>
      </w:r>
      <w:r w:rsidRPr="00BE6681">
        <w:rPr>
          <w:rFonts w:asciiTheme="majorHAnsi" w:hAnsiTheme="majorHAnsi"/>
          <w:sz w:val="16"/>
          <w:szCs w:val="16"/>
          <w:lang w:val="es-CO"/>
        </w:rPr>
        <w:t xml:space="preserve"> </w:t>
      </w:r>
      <w:r w:rsidRPr="008B2E8C">
        <w:rPr>
          <w:rStyle w:val="Strong"/>
          <w:rFonts w:asciiTheme="majorHAnsi" w:hAnsiTheme="majorHAnsi"/>
          <w:b w:val="0"/>
          <w:sz w:val="16"/>
          <w:szCs w:val="16"/>
          <w:lang w:val="es-CO"/>
        </w:rPr>
        <w:t xml:space="preserve">Corte IDH. Caso Apitz Barbera y otros (“Corte Primera de lo Contencioso Administrativo”) Vs. Venezuela. Excepción Preliminar, Fondo, Reparaciones y Costas. </w:t>
      </w:r>
      <w:r w:rsidRPr="00812B0F">
        <w:rPr>
          <w:rStyle w:val="Strong"/>
          <w:rFonts w:asciiTheme="majorHAnsi" w:hAnsiTheme="majorHAnsi"/>
          <w:b w:val="0"/>
          <w:sz w:val="16"/>
          <w:szCs w:val="16"/>
          <w:lang w:val="es-CO"/>
        </w:rPr>
        <w:t>Sentencia de 5 de agosto de 2008. Serie C No. 182. P</w:t>
      </w:r>
      <w:r>
        <w:rPr>
          <w:rStyle w:val="Strong"/>
          <w:rFonts w:asciiTheme="majorHAnsi" w:hAnsiTheme="majorHAnsi"/>
          <w:b w:val="0"/>
          <w:sz w:val="16"/>
          <w:szCs w:val="16"/>
          <w:lang w:val="es-CO"/>
        </w:rPr>
        <w:t xml:space="preserve">árr. 84. Citando. </w:t>
      </w:r>
      <w:r w:rsidRPr="00BE6681">
        <w:rPr>
          <w:rFonts w:asciiTheme="majorHAnsi" w:hAnsiTheme="majorHAnsi"/>
          <w:i/>
          <w:sz w:val="16"/>
          <w:szCs w:val="16"/>
          <w:lang w:val="es-CO"/>
        </w:rPr>
        <w:t xml:space="preserve">Cfr. </w:t>
      </w:r>
      <w:r w:rsidRPr="00BE6681">
        <w:rPr>
          <w:rFonts w:asciiTheme="majorHAnsi" w:hAnsiTheme="majorHAnsi"/>
          <w:sz w:val="16"/>
          <w:szCs w:val="16"/>
          <w:lang w:val="es-CO"/>
        </w:rPr>
        <w:t xml:space="preserve">Naciones Unidas, Comité de Derechos Humanos, Observación General No. 32, </w:t>
      </w:r>
      <w:r w:rsidRPr="00BE6681">
        <w:rPr>
          <w:rFonts w:asciiTheme="majorHAnsi" w:hAnsiTheme="majorHAnsi"/>
          <w:i/>
          <w:sz w:val="16"/>
          <w:szCs w:val="16"/>
          <w:lang w:val="es-CO"/>
        </w:rPr>
        <w:t xml:space="preserve">supra </w:t>
      </w:r>
      <w:r w:rsidRPr="00BE6681">
        <w:rPr>
          <w:rFonts w:asciiTheme="majorHAnsi" w:hAnsiTheme="majorHAnsi"/>
          <w:sz w:val="16"/>
          <w:szCs w:val="16"/>
          <w:lang w:val="es-CO"/>
        </w:rPr>
        <w:t xml:space="preserve">nota 58, párr. 20. Ver también Principio 18 de los Principios Básicos de las Naciones Unidas, </w:t>
      </w:r>
      <w:r w:rsidRPr="00BE6681">
        <w:rPr>
          <w:rFonts w:asciiTheme="majorHAnsi" w:hAnsiTheme="majorHAnsi"/>
          <w:i/>
          <w:sz w:val="16"/>
          <w:szCs w:val="16"/>
          <w:lang w:val="es-CO"/>
        </w:rPr>
        <w:t>supra</w:t>
      </w:r>
      <w:r w:rsidRPr="00BE6681">
        <w:rPr>
          <w:rFonts w:asciiTheme="majorHAnsi" w:hAnsiTheme="majorHAnsi"/>
          <w:sz w:val="16"/>
          <w:szCs w:val="16"/>
          <w:lang w:val="es-CO"/>
        </w:rPr>
        <w:t xml:space="preserve"> nota 59.</w:t>
      </w:r>
    </w:p>
  </w:footnote>
  <w:footnote w:id="111">
    <w:p w14:paraId="45D0B0D8" w14:textId="77777777"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w:t>
      </w:r>
      <w:r w:rsidRPr="008B2E8C">
        <w:rPr>
          <w:rStyle w:val="Strong"/>
          <w:rFonts w:asciiTheme="majorHAnsi" w:hAnsiTheme="majorHAnsi"/>
          <w:b w:val="0"/>
          <w:sz w:val="16"/>
          <w:szCs w:val="16"/>
          <w:lang w:val="es-CO"/>
        </w:rPr>
        <w:t xml:space="preserve">Corte IDH. Caso Apitz Barbera y otros (“Corte Primera de lo Contencioso Administrativo”) Vs. Venezuela. Excepción Preliminar, Fondo, Reparaciones y Costas. </w:t>
      </w:r>
      <w:r w:rsidRPr="00812B0F">
        <w:rPr>
          <w:rStyle w:val="Strong"/>
          <w:rFonts w:asciiTheme="majorHAnsi" w:hAnsiTheme="majorHAnsi"/>
          <w:b w:val="0"/>
          <w:sz w:val="16"/>
          <w:szCs w:val="16"/>
          <w:lang w:val="es-CO"/>
        </w:rPr>
        <w:t>Sentencia de 5 de agosto de 2008. Serie C No. 182. P</w:t>
      </w:r>
      <w:r>
        <w:rPr>
          <w:rStyle w:val="Strong"/>
          <w:rFonts w:asciiTheme="majorHAnsi" w:hAnsiTheme="majorHAnsi"/>
          <w:b w:val="0"/>
          <w:sz w:val="16"/>
          <w:szCs w:val="16"/>
          <w:lang w:val="es-CO"/>
        </w:rPr>
        <w:t xml:space="preserve">árr. 84. Citando. </w:t>
      </w:r>
      <w:r w:rsidRPr="00BE6681">
        <w:rPr>
          <w:rFonts w:asciiTheme="majorHAnsi" w:hAnsiTheme="majorHAnsi"/>
          <w:sz w:val="16"/>
          <w:szCs w:val="16"/>
          <w:lang w:val="es-CO"/>
        </w:rPr>
        <w:t xml:space="preserve">Principio A, párr. 4 (n) 2 de los Principios y Directrices Relativos al Derecho a un Juicio Justo y a la Asistencia Jurídica en África adoptados como parte del Informe de Actividades de la Comisión Africana en la Segunda Cumbre y Reunión de Jefes de Estado de la Unión Africana, celebrada en Maputo, Mozambique, del 4 al 12 de julio de 2003. </w:t>
      </w:r>
    </w:p>
  </w:footnote>
  <w:footnote w:id="112">
    <w:p w14:paraId="5F397683" w14:textId="061AB2A5" w:rsidR="001050CB" w:rsidRPr="00BE6681" w:rsidRDefault="001050CB" w:rsidP="00536AF3">
      <w:pPr>
        <w:pStyle w:val="FootnoteText"/>
        <w:jc w:val="both"/>
        <w:rPr>
          <w:rFonts w:asciiTheme="majorHAnsi" w:hAnsiTheme="majorHAnsi"/>
          <w:sz w:val="16"/>
          <w:szCs w:val="16"/>
          <w:lang w:val="es-CO"/>
        </w:rPr>
      </w:pPr>
      <w:r w:rsidRPr="00BE6681">
        <w:rPr>
          <w:rStyle w:val="FootnoteReference"/>
          <w:rFonts w:asciiTheme="majorHAnsi" w:hAnsiTheme="majorHAnsi"/>
          <w:sz w:val="16"/>
          <w:szCs w:val="16"/>
        </w:rPr>
        <w:footnoteRef/>
      </w:r>
      <w:r>
        <w:rPr>
          <w:rFonts w:asciiTheme="majorHAnsi" w:hAnsiTheme="majorHAnsi"/>
          <w:sz w:val="16"/>
          <w:szCs w:val="16"/>
          <w:lang w:val="es-CO"/>
        </w:rPr>
        <w:t xml:space="preserve"> </w:t>
      </w:r>
      <w:r w:rsidRPr="008B2E8C">
        <w:rPr>
          <w:rStyle w:val="Strong"/>
          <w:rFonts w:asciiTheme="majorHAnsi" w:hAnsiTheme="majorHAnsi"/>
          <w:b w:val="0"/>
          <w:sz w:val="16"/>
          <w:szCs w:val="16"/>
          <w:lang w:val="es-CO"/>
        </w:rPr>
        <w:t xml:space="preserve">Corte IDH. Caso Apitz Barbera y otros (“Corte Primera de lo Contencioso Administrativo”) Vs. Venezuela. Excepción Preliminar, Fondo, Reparaciones y Costas. </w:t>
      </w:r>
      <w:r w:rsidRPr="00812B0F">
        <w:rPr>
          <w:rStyle w:val="Strong"/>
          <w:rFonts w:asciiTheme="majorHAnsi" w:hAnsiTheme="majorHAnsi"/>
          <w:b w:val="0"/>
          <w:sz w:val="16"/>
          <w:szCs w:val="16"/>
          <w:lang w:val="es-CO"/>
        </w:rPr>
        <w:t>Sentencia de 5 de agosto de 2008. Serie C No. 182. P</w:t>
      </w:r>
      <w:r>
        <w:rPr>
          <w:rStyle w:val="Strong"/>
          <w:rFonts w:asciiTheme="majorHAnsi" w:hAnsiTheme="majorHAnsi"/>
          <w:b w:val="0"/>
          <w:sz w:val="16"/>
          <w:szCs w:val="16"/>
          <w:lang w:val="es-CO"/>
        </w:rPr>
        <w:t xml:space="preserve">árr. 86. </w:t>
      </w:r>
    </w:p>
  </w:footnote>
  <w:footnote w:id="113">
    <w:p w14:paraId="6FC04ED1" w14:textId="77777777" w:rsidR="001050CB" w:rsidRPr="00BE6681" w:rsidRDefault="001050CB" w:rsidP="00536AF3">
      <w:pPr>
        <w:tabs>
          <w:tab w:val="left" w:pos="720"/>
        </w:tabs>
        <w:jc w:val="both"/>
        <w:rPr>
          <w:rFonts w:asciiTheme="majorHAnsi" w:hAnsiTheme="majorHAnsi"/>
          <w:sz w:val="16"/>
          <w:szCs w:val="16"/>
          <w:lang w:val="es-VE"/>
        </w:rPr>
      </w:pPr>
      <w:r w:rsidRPr="00BE6681">
        <w:rPr>
          <w:rStyle w:val="FootnoteReference"/>
          <w:rFonts w:asciiTheme="majorHAnsi" w:hAnsiTheme="majorHAnsi"/>
          <w:sz w:val="16"/>
          <w:szCs w:val="16"/>
        </w:rPr>
        <w:footnoteRef/>
      </w:r>
      <w:r w:rsidRPr="00BE6681">
        <w:rPr>
          <w:rFonts w:asciiTheme="majorHAnsi" w:hAnsiTheme="majorHAnsi"/>
          <w:sz w:val="16"/>
          <w:szCs w:val="16"/>
          <w:lang w:val="es-VE"/>
        </w:rPr>
        <w:t xml:space="preserve"> </w:t>
      </w:r>
      <w:r w:rsidRPr="00BE6681">
        <w:rPr>
          <w:rFonts w:asciiTheme="majorHAnsi" w:hAnsiTheme="majorHAnsi"/>
          <w:sz w:val="16"/>
          <w:szCs w:val="16"/>
          <w:lang w:val="es-AR"/>
        </w:rPr>
        <w:t>El artículo 8. 2 h establece el “derecho de recurrir del fallo ante juez o tribunal superior”.</w:t>
      </w:r>
    </w:p>
  </w:footnote>
  <w:footnote w:id="114">
    <w:p w14:paraId="3F9C9014" w14:textId="77777777" w:rsidR="001050CB" w:rsidRPr="00BE6681" w:rsidRDefault="001050CB" w:rsidP="00536AF3">
      <w:pPr>
        <w:tabs>
          <w:tab w:val="left" w:pos="720"/>
        </w:tabs>
        <w:jc w:val="both"/>
        <w:rPr>
          <w:rFonts w:asciiTheme="majorHAnsi" w:hAnsiTheme="majorHAnsi"/>
          <w:sz w:val="16"/>
          <w:szCs w:val="16"/>
          <w:lang w:val="es-VE"/>
        </w:rPr>
      </w:pPr>
      <w:r w:rsidRPr="00BE6681">
        <w:rPr>
          <w:rStyle w:val="FootnoteReference"/>
          <w:rFonts w:asciiTheme="majorHAnsi" w:hAnsiTheme="majorHAnsi"/>
          <w:sz w:val="16"/>
          <w:szCs w:val="16"/>
        </w:rPr>
        <w:footnoteRef/>
      </w:r>
      <w:r w:rsidRPr="00BE6681">
        <w:rPr>
          <w:rFonts w:asciiTheme="majorHAnsi" w:hAnsiTheme="majorHAnsi"/>
          <w:sz w:val="16"/>
          <w:szCs w:val="16"/>
          <w:lang w:val="es-VE"/>
        </w:rPr>
        <w:t xml:space="preserve"> </w:t>
      </w:r>
      <w:r w:rsidRPr="00BE6681">
        <w:rPr>
          <w:rFonts w:asciiTheme="majorHAnsi" w:hAnsiTheme="majorHAnsi"/>
          <w:sz w:val="16"/>
          <w:szCs w:val="16"/>
          <w:lang w:val="es-AR"/>
        </w:rPr>
        <w:t>El artículo 25.1 de la Convención estipula que:</w:t>
      </w:r>
      <w:r w:rsidRPr="00BE6681">
        <w:rPr>
          <w:rFonts w:asciiTheme="majorHAnsi" w:hAnsiTheme="majorHAnsi"/>
          <w:sz w:val="16"/>
          <w:szCs w:val="16"/>
          <w:lang w:val="es-VE"/>
        </w:rPr>
        <w:t xml:space="preserve"> </w:t>
      </w:r>
      <w:r w:rsidRPr="00BE6681">
        <w:rPr>
          <w:rFonts w:asciiTheme="majorHAnsi" w:eastAsia="Times New Roman" w:hAnsiTheme="majorHAnsi"/>
          <w:sz w:val="16"/>
          <w:szCs w:val="16"/>
          <w:lang w:val="es-VE"/>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15">
    <w:p w14:paraId="74501552" w14:textId="77777777" w:rsidR="001050CB" w:rsidRPr="00BE6681" w:rsidRDefault="001050CB" w:rsidP="00536AF3">
      <w:pPr>
        <w:pStyle w:val="FootnoteText"/>
        <w:jc w:val="both"/>
        <w:rPr>
          <w:rFonts w:asciiTheme="majorHAnsi" w:hAnsiTheme="majorHAnsi"/>
          <w:sz w:val="16"/>
          <w:szCs w:val="16"/>
          <w:lang w:val="es-VE"/>
        </w:rPr>
      </w:pPr>
      <w:r w:rsidRPr="00BE6681">
        <w:rPr>
          <w:rStyle w:val="FootnoteReference"/>
          <w:rFonts w:asciiTheme="majorHAnsi" w:hAnsiTheme="majorHAnsi"/>
          <w:sz w:val="16"/>
          <w:szCs w:val="16"/>
        </w:rPr>
        <w:footnoteRef/>
      </w:r>
      <w:r w:rsidRPr="00BE6681">
        <w:rPr>
          <w:rStyle w:val="FootnoteReference"/>
          <w:rFonts w:asciiTheme="majorHAnsi" w:hAnsiTheme="majorHAnsi"/>
          <w:sz w:val="16"/>
          <w:szCs w:val="16"/>
          <w:lang w:val="es-VE"/>
        </w:rPr>
        <w:t xml:space="preserve"> </w:t>
      </w:r>
      <w:r w:rsidRPr="00BE6681">
        <w:rPr>
          <w:rFonts w:asciiTheme="majorHAnsi" w:hAnsiTheme="majorHAnsi"/>
          <w:sz w:val="16"/>
          <w:szCs w:val="16"/>
          <w:lang w:val="es-VE"/>
        </w:rPr>
        <w:t xml:space="preserve">CIDH, Garantías para la independencia de las y los operadores de justicia. Hacia el fortalecimiento del acceso a la justicia y el estado de derecho en las Américas, OEA/ser.L/V/II.Doc.44, 5 de diciembre de 2013, párr. 235; Corte IDH, </w:t>
      </w:r>
      <w:r w:rsidRPr="00BE6681">
        <w:rPr>
          <w:rFonts w:asciiTheme="majorHAnsi" w:hAnsiTheme="majorHAnsi"/>
          <w:bCs/>
          <w:i/>
          <w:sz w:val="16"/>
          <w:szCs w:val="16"/>
          <w:lang w:val="es-VE"/>
        </w:rPr>
        <w:t>Caso Vélez Loor Vs. Panamá</w:t>
      </w:r>
      <w:r w:rsidRPr="00BE6681">
        <w:rPr>
          <w:rFonts w:asciiTheme="majorHAnsi" w:hAnsiTheme="majorHAnsi"/>
          <w:bCs/>
          <w:sz w:val="16"/>
          <w:szCs w:val="16"/>
          <w:lang w:val="es-VE"/>
        </w:rPr>
        <w:t xml:space="preserve">. </w:t>
      </w:r>
      <w:r w:rsidRPr="00BE6681">
        <w:rPr>
          <w:rFonts w:asciiTheme="majorHAnsi" w:hAnsiTheme="majorHAnsi"/>
          <w:sz w:val="16"/>
          <w:szCs w:val="16"/>
          <w:lang w:val="es-VE"/>
        </w:rPr>
        <w:t xml:space="preserve">Excepciones Preliminares, Fondo, Reparaciones y Costas. Sentencia de 23 de noviembre de 2010. Serie C No. 218. </w:t>
      </w:r>
      <w:r w:rsidRPr="00BE6681">
        <w:rPr>
          <w:rFonts w:asciiTheme="majorHAnsi" w:hAnsiTheme="majorHAnsi"/>
          <w:sz w:val="16"/>
          <w:szCs w:val="16"/>
          <w:lang w:val="es-ES_tradnl"/>
        </w:rPr>
        <w:t>Párr. 179.</w:t>
      </w:r>
    </w:p>
  </w:footnote>
  <w:footnote w:id="116">
    <w:p w14:paraId="3F4EE49F" w14:textId="77777777" w:rsidR="001050CB" w:rsidRPr="00BE6681" w:rsidRDefault="001050CB" w:rsidP="00536AF3">
      <w:pPr>
        <w:pStyle w:val="FootnoteText"/>
        <w:jc w:val="both"/>
        <w:rPr>
          <w:rFonts w:asciiTheme="majorHAnsi" w:hAnsiTheme="majorHAnsi"/>
          <w:sz w:val="16"/>
          <w:szCs w:val="16"/>
          <w:lang w:val="es-VE"/>
        </w:rPr>
      </w:pPr>
      <w:r w:rsidRPr="00BE6681">
        <w:rPr>
          <w:rStyle w:val="FootnoteReference"/>
          <w:rFonts w:asciiTheme="majorHAnsi" w:hAnsiTheme="majorHAnsi"/>
          <w:sz w:val="16"/>
          <w:szCs w:val="16"/>
        </w:rPr>
        <w:footnoteRef/>
      </w:r>
      <w:r w:rsidRPr="00BE6681">
        <w:rPr>
          <w:rFonts w:asciiTheme="majorHAnsi" w:hAnsiTheme="majorHAnsi"/>
          <w:sz w:val="16"/>
          <w:szCs w:val="16"/>
          <w:lang w:val="es-VE"/>
        </w:rPr>
        <w:t>CIDH, Informe No. 33/14, Caso 12.820, Manfred Amrhein y otros, Costa Rica. 4 de abril de 2014, párr.186.</w:t>
      </w:r>
    </w:p>
  </w:footnote>
  <w:footnote w:id="117">
    <w:p w14:paraId="50A58F16" w14:textId="77777777" w:rsidR="001050CB" w:rsidRPr="00BE6681" w:rsidRDefault="001050CB" w:rsidP="00536AF3">
      <w:pPr>
        <w:pStyle w:val="FootnoteText"/>
        <w:jc w:val="both"/>
        <w:rPr>
          <w:rFonts w:asciiTheme="majorHAnsi" w:hAnsiTheme="majorHAnsi"/>
          <w:sz w:val="16"/>
          <w:szCs w:val="16"/>
          <w:lang w:val="es-VE"/>
        </w:rPr>
      </w:pPr>
      <w:r w:rsidRPr="00BE6681">
        <w:rPr>
          <w:rStyle w:val="FootnoteReference"/>
          <w:rFonts w:asciiTheme="majorHAnsi" w:hAnsiTheme="majorHAnsi"/>
          <w:sz w:val="16"/>
          <w:szCs w:val="16"/>
        </w:rPr>
        <w:footnoteRef/>
      </w:r>
      <w:r w:rsidRPr="00BE6681">
        <w:rPr>
          <w:rFonts w:asciiTheme="majorHAnsi" w:hAnsiTheme="majorHAnsi"/>
          <w:sz w:val="16"/>
          <w:szCs w:val="16"/>
          <w:lang w:val="es-VE"/>
        </w:rPr>
        <w:t>CIDH, Informe No. 33/14, Caso 12.820, Manfred Amrhein y otros, Costa Rica. 4 de abril de 2014, párr.186.</w:t>
      </w:r>
    </w:p>
  </w:footnote>
  <w:footnote w:id="118">
    <w:p w14:paraId="7A6F2B56" w14:textId="77777777" w:rsidR="001050CB" w:rsidRPr="00BE6681" w:rsidRDefault="001050CB" w:rsidP="00536AF3">
      <w:pPr>
        <w:pStyle w:val="FootnoteText"/>
        <w:jc w:val="both"/>
        <w:rPr>
          <w:rFonts w:asciiTheme="majorHAnsi" w:hAnsiTheme="majorHAnsi"/>
          <w:sz w:val="16"/>
          <w:szCs w:val="16"/>
          <w:lang w:val="es-VE"/>
        </w:rPr>
      </w:pPr>
      <w:r w:rsidRPr="00BE6681">
        <w:rPr>
          <w:rStyle w:val="FootnoteReference"/>
          <w:rFonts w:asciiTheme="majorHAnsi" w:hAnsiTheme="majorHAnsi"/>
          <w:sz w:val="16"/>
          <w:szCs w:val="16"/>
        </w:rPr>
        <w:footnoteRef/>
      </w:r>
      <w:r w:rsidRPr="00BE6681">
        <w:rPr>
          <w:rFonts w:asciiTheme="majorHAnsi" w:hAnsiTheme="majorHAnsi"/>
          <w:sz w:val="16"/>
          <w:szCs w:val="16"/>
          <w:lang w:val="es-VE"/>
        </w:rPr>
        <w:t>CIDH, Informe No. 33/14, Caso 12.820, Manfred Amrhein y otros, Costa Rica. 4 de abril de 2014, párr.186 y ss.</w:t>
      </w:r>
    </w:p>
  </w:footnote>
  <w:footnote w:id="119">
    <w:p w14:paraId="15DE751C" w14:textId="77777777" w:rsidR="001050CB" w:rsidRPr="00BE6681" w:rsidRDefault="001050CB" w:rsidP="00536AF3">
      <w:pPr>
        <w:tabs>
          <w:tab w:val="left" w:pos="180"/>
          <w:tab w:val="left" w:pos="900"/>
          <w:tab w:val="left" w:pos="1080"/>
        </w:tabs>
        <w:jc w:val="both"/>
        <w:rPr>
          <w:rFonts w:asciiTheme="majorHAnsi" w:hAnsiTheme="majorHAnsi"/>
          <w:sz w:val="16"/>
          <w:szCs w:val="16"/>
          <w:lang w:val="es-CO"/>
        </w:rPr>
      </w:pPr>
      <w:r w:rsidRPr="00BE6681">
        <w:rPr>
          <w:rStyle w:val="FootnoteReference"/>
          <w:rFonts w:asciiTheme="majorHAnsi" w:hAnsiTheme="majorHAnsi"/>
          <w:sz w:val="16"/>
          <w:szCs w:val="16"/>
        </w:rPr>
        <w:footnoteRef/>
      </w:r>
      <w:r w:rsidRPr="00BE6681">
        <w:rPr>
          <w:rFonts w:asciiTheme="majorHAnsi" w:hAnsiTheme="majorHAnsi"/>
          <w:color w:val="000000"/>
          <w:sz w:val="16"/>
          <w:szCs w:val="16"/>
          <w:lang w:val="es-CO"/>
        </w:rPr>
        <w:t xml:space="preserve">Corte IDH, </w:t>
      </w:r>
      <w:r w:rsidRPr="00BE6681">
        <w:rPr>
          <w:rFonts w:asciiTheme="majorHAnsi" w:hAnsiTheme="majorHAnsi"/>
          <w:bCs/>
          <w:color w:val="000000"/>
          <w:sz w:val="16"/>
          <w:szCs w:val="16"/>
          <w:lang w:val="es-CO"/>
        </w:rPr>
        <w:t xml:space="preserve">Caso Trabajadores Cesados del Congreso (Aguado Alfaro y otros). </w:t>
      </w:r>
      <w:r w:rsidRPr="00BE6681">
        <w:rPr>
          <w:rFonts w:asciiTheme="majorHAnsi" w:hAnsiTheme="majorHAnsi"/>
          <w:color w:val="000000"/>
          <w:sz w:val="16"/>
          <w:szCs w:val="16"/>
          <w:lang w:val="es-CO"/>
        </w:rPr>
        <w:t xml:space="preserve">Sentencia sobre Excepciones Preliminares, Fondo, Reparaciones y Costas. Sentencia de 24 de Noviembre de 2006. Serie C No. 158. Párr. 125; Corte IDH, </w:t>
      </w:r>
      <w:r w:rsidRPr="00BE6681">
        <w:rPr>
          <w:rFonts w:asciiTheme="majorHAnsi" w:hAnsiTheme="majorHAnsi"/>
          <w:bCs/>
          <w:color w:val="000000"/>
          <w:sz w:val="16"/>
          <w:szCs w:val="16"/>
          <w:lang w:val="es-CO"/>
        </w:rPr>
        <w:t xml:space="preserve">Caso Comunidad Indígena Yakye Axa. </w:t>
      </w:r>
      <w:r w:rsidRPr="00BE6681">
        <w:rPr>
          <w:rFonts w:asciiTheme="majorHAnsi" w:hAnsiTheme="majorHAnsi"/>
          <w:color w:val="000000"/>
          <w:sz w:val="16"/>
          <w:szCs w:val="16"/>
          <w:lang w:val="es-CO"/>
        </w:rPr>
        <w:t>Sentencia 17 de junio de 2005. Serie C No. 125</w:t>
      </w:r>
      <w:r w:rsidRPr="00BE6681">
        <w:rPr>
          <w:rFonts w:asciiTheme="majorHAnsi" w:hAnsiTheme="majorHAnsi"/>
          <w:sz w:val="16"/>
          <w:szCs w:val="16"/>
          <w:lang w:val="es-CO"/>
        </w:rPr>
        <w:t xml:space="preserve">. Párr.  61; </w:t>
      </w:r>
      <w:r w:rsidRPr="00BE6681">
        <w:rPr>
          <w:rFonts w:asciiTheme="majorHAnsi" w:hAnsiTheme="majorHAnsi"/>
          <w:color w:val="000000"/>
          <w:sz w:val="16"/>
          <w:szCs w:val="16"/>
          <w:lang w:val="es-CO"/>
        </w:rPr>
        <w:t xml:space="preserve">Corte IDH, </w:t>
      </w:r>
      <w:r w:rsidRPr="00BE6681">
        <w:rPr>
          <w:rFonts w:asciiTheme="majorHAnsi" w:hAnsiTheme="majorHAnsi"/>
          <w:bCs/>
          <w:color w:val="000000"/>
          <w:sz w:val="16"/>
          <w:szCs w:val="16"/>
          <w:lang w:val="es-CO"/>
        </w:rPr>
        <w:t xml:space="preserve">Caso "Cinco Pensionistas". </w:t>
      </w:r>
      <w:r w:rsidRPr="00BE6681">
        <w:rPr>
          <w:rFonts w:asciiTheme="majorHAnsi" w:hAnsiTheme="majorHAnsi"/>
          <w:color w:val="000000"/>
          <w:sz w:val="16"/>
          <w:szCs w:val="16"/>
          <w:lang w:val="es-CO"/>
        </w:rPr>
        <w:t>Sentencia de 28 de febrero de 2003. Serie C No. 98</w:t>
      </w:r>
      <w:r w:rsidRPr="00BE6681">
        <w:rPr>
          <w:rFonts w:asciiTheme="majorHAnsi" w:hAnsiTheme="majorHAnsi"/>
          <w:sz w:val="16"/>
          <w:szCs w:val="16"/>
          <w:lang w:val="es-CO"/>
        </w:rPr>
        <w:t>. Párr. 136.</w:t>
      </w:r>
    </w:p>
  </w:footnote>
  <w:footnote w:id="120">
    <w:p w14:paraId="123F782F" w14:textId="77777777" w:rsidR="001050CB" w:rsidRPr="00BE6681" w:rsidRDefault="001050CB" w:rsidP="00536AF3">
      <w:pPr>
        <w:tabs>
          <w:tab w:val="left" w:pos="1440"/>
        </w:tabs>
        <w:jc w:val="both"/>
        <w:rPr>
          <w:rFonts w:asciiTheme="majorHAnsi" w:hAnsiTheme="majorHAnsi"/>
          <w:sz w:val="16"/>
          <w:szCs w:val="16"/>
          <w:lang w:val="es-AR"/>
        </w:rPr>
      </w:pPr>
      <w:r w:rsidRPr="00BE6681">
        <w:rPr>
          <w:rStyle w:val="FootnoteReference"/>
          <w:rFonts w:asciiTheme="majorHAnsi" w:hAnsiTheme="majorHAnsi"/>
          <w:sz w:val="16"/>
          <w:szCs w:val="16"/>
        </w:rPr>
        <w:footnoteRef/>
      </w:r>
      <w:r w:rsidRPr="00BE6681">
        <w:rPr>
          <w:rFonts w:asciiTheme="majorHAnsi" w:hAnsiTheme="majorHAnsi"/>
          <w:sz w:val="16"/>
          <w:szCs w:val="16"/>
          <w:lang w:val="es-VE"/>
        </w:rPr>
        <w:t xml:space="preserve"> </w:t>
      </w:r>
      <w:r w:rsidRPr="00BE6681">
        <w:rPr>
          <w:rFonts w:asciiTheme="majorHAnsi" w:hAnsiTheme="majorHAnsi"/>
          <w:sz w:val="16"/>
          <w:szCs w:val="16"/>
          <w:lang w:val="es-AR"/>
        </w:rPr>
        <w:t xml:space="preserve">El artículo 23 de la Convención Americana establece, en lo relevante, que: 1. </w:t>
      </w:r>
      <w:r w:rsidRPr="00BE6681">
        <w:rPr>
          <w:rFonts w:asciiTheme="majorHAnsi" w:eastAsia="Times New Roman" w:hAnsiTheme="majorHAnsi"/>
          <w:sz w:val="16"/>
          <w:szCs w:val="16"/>
          <w:lang w:val="es-ES" w:eastAsia="es-ES"/>
        </w:rPr>
        <w:t xml:space="preserve">Todos los ciudadanos deben gozar de los siguientes derechos y oportunidades: (…) </w:t>
      </w:r>
      <w:r w:rsidRPr="00BE6681">
        <w:rPr>
          <w:rFonts w:asciiTheme="majorHAnsi" w:hAnsiTheme="majorHAnsi"/>
          <w:sz w:val="16"/>
          <w:szCs w:val="16"/>
          <w:lang w:val="es-AR"/>
        </w:rPr>
        <w:t xml:space="preserve">c. </w:t>
      </w:r>
      <w:r w:rsidRPr="00BE6681">
        <w:rPr>
          <w:rFonts w:asciiTheme="majorHAnsi" w:eastAsia="Times New Roman" w:hAnsiTheme="majorHAnsi"/>
          <w:sz w:val="16"/>
          <w:szCs w:val="16"/>
          <w:lang w:val="es-ES"/>
        </w:rPr>
        <w:t xml:space="preserve">De tener acceso, en condiciones generales de igualdad, a las funciones públicas de su país. </w:t>
      </w:r>
      <w:r w:rsidRPr="00BE6681">
        <w:rPr>
          <w:rFonts w:asciiTheme="majorHAnsi" w:hAnsiTheme="majorHAnsi"/>
          <w:sz w:val="16"/>
          <w:szCs w:val="16"/>
          <w:lang w:val="es-AR"/>
        </w:rPr>
        <w:t xml:space="preserve">2. </w:t>
      </w:r>
      <w:r w:rsidRPr="00BE6681">
        <w:rPr>
          <w:rFonts w:asciiTheme="majorHAnsi" w:eastAsia="Times New Roman" w:hAnsiTheme="majorHAnsi"/>
          <w:sz w:val="16"/>
          <w:szCs w:val="16"/>
          <w:lang w:val="es-ES"/>
        </w:rPr>
        <w:t xml:space="preserve">La ley puede reglamentar el ejercicio de los derechos y oportunidades a que se refiere el inciso anterior, exclusivamente por razones de edad, nacionalidad, residencia, idioma, instrucción, capacidad civil o mental, o condena, por juez competente, en proceso penal. </w:t>
      </w:r>
    </w:p>
  </w:footnote>
  <w:footnote w:id="121">
    <w:p w14:paraId="27F261B7" w14:textId="77777777" w:rsidR="001050CB" w:rsidRPr="00BE6681" w:rsidRDefault="001050CB" w:rsidP="00536AF3">
      <w:pPr>
        <w:jc w:val="both"/>
        <w:rPr>
          <w:rFonts w:asciiTheme="majorHAnsi" w:hAnsiTheme="majorHAnsi"/>
          <w:sz w:val="16"/>
          <w:szCs w:val="16"/>
          <w:lang w:val="es-VE"/>
        </w:rPr>
      </w:pPr>
      <w:r w:rsidRPr="00BE6681">
        <w:rPr>
          <w:rStyle w:val="FootnoteReference"/>
          <w:rFonts w:asciiTheme="majorHAnsi" w:hAnsiTheme="majorHAnsi"/>
          <w:sz w:val="16"/>
          <w:szCs w:val="16"/>
        </w:rPr>
        <w:footnoteRef/>
      </w:r>
      <w:r w:rsidRPr="00BE6681">
        <w:rPr>
          <w:rFonts w:asciiTheme="majorHAnsi" w:hAnsiTheme="majorHAnsi"/>
          <w:sz w:val="16"/>
          <w:szCs w:val="16"/>
          <w:lang w:val="es-VE"/>
        </w:rPr>
        <w:t xml:space="preserve">CIDH, Informe No. 72/17, Caso 13.019. Fondo. Eduardo Rico. Argentina. 5 de julio de 2017, párr. 124; </w:t>
      </w:r>
      <w:r w:rsidRPr="00BE6681">
        <w:rPr>
          <w:rFonts w:asciiTheme="majorHAnsi" w:eastAsia="Times New Roman" w:hAnsiTheme="majorHAnsi"/>
          <w:bCs/>
          <w:sz w:val="16"/>
          <w:szCs w:val="16"/>
          <w:shd w:val="clear" w:color="auto" w:fill="FFFFFF"/>
          <w:lang w:val="es-MX"/>
        </w:rPr>
        <w:t>Corte IDH. Caso López Lone y otros Vs. Honduras. Excepción Preliminar, Fondo, Reparaciones y Costas. Sentencia de 5 de octubre de 2015. Serie C No. 302, párr. 192.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751F6" w14:textId="77777777" w:rsidR="001050CB" w:rsidRDefault="001050CB" w:rsidP="004B316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E402028" w14:textId="77777777" w:rsidR="001050CB" w:rsidRDefault="00105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CC565" w14:textId="77777777" w:rsidR="001050CB" w:rsidRDefault="001050CB" w:rsidP="00A50FCF">
    <w:pPr>
      <w:pStyle w:val="Header"/>
      <w:tabs>
        <w:tab w:val="clear" w:pos="4320"/>
        <w:tab w:val="clear" w:pos="8640"/>
      </w:tabs>
      <w:jc w:val="center"/>
      <w:rPr>
        <w:sz w:val="22"/>
        <w:szCs w:val="22"/>
      </w:rPr>
    </w:pPr>
    <w:r>
      <w:rPr>
        <w:noProof/>
        <w:sz w:val="22"/>
        <w:szCs w:val="22"/>
      </w:rPr>
      <w:drawing>
        <wp:inline distT="0" distB="0" distL="0" distR="0" wp14:anchorId="2D430A3D" wp14:editId="7FEC835F">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B4D6DB0" w14:textId="77777777" w:rsidR="001050CB" w:rsidRPr="00EC7D62" w:rsidRDefault="00991432" w:rsidP="00A50FCF">
    <w:pPr>
      <w:pStyle w:val="Header"/>
      <w:tabs>
        <w:tab w:val="clear" w:pos="4320"/>
        <w:tab w:val="clear" w:pos="8640"/>
      </w:tabs>
      <w:jc w:val="center"/>
      <w:rPr>
        <w:sz w:val="22"/>
        <w:szCs w:val="22"/>
      </w:rPr>
    </w:pPr>
    <w:r>
      <w:rPr>
        <w:sz w:val="22"/>
        <w:szCs w:val="22"/>
      </w:rPr>
      <w:pict w14:anchorId="2F78E313">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090328C"/>
    <w:lvl w:ilvl="0">
      <w:start w:val="1"/>
      <w:numFmt w:val="bullet"/>
      <w:pStyle w:val="NoSpacing"/>
      <w:lvlText w:val=""/>
      <w:lvlJc w:val="left"/>
      <w:pPr>
        <w:tabs>
          <w:tab w:val="num" w:pos="0"/>
        </w:tabs>
      </w:pPr>
      <w:rPr>
        <w:rFonts w:ascii="Symbol" w:hAnsi="Symbol" w:hint="default"/>
      </w:rPr>
    </w:lvl>
    <w:lvl w:ilvl="1">
      <w:start w:val="1"/>
      <w:numFmt w:val="bullet"/>
      <w:pStyle w:val="LightShading1"/>
      <w:lvlText w:val=""/>
      <w:lvlJc w:val="left"/>
      <w:pPr>
        <w:tabs>
          <w:tab w:val="num" w:pos="720"/>
        </w:tabs>
        <w:ind w:left="1080" w:hanging="360"/>
      </w:pPr>
      <w:rPr>
        <w:rFonts w:ascii="Symbol" w:hAnsi="Symbol" w:hint="default"/>
      </w:rPr>
    </w:lvl>
    <w:lvl w:ilvl="2">
      <w:start w:val="1"/>
      <w:numFmt w:val="bullet"/>
      <w:pStyle w:val="LightList1"/>
      <w:lvlText w:val="o"/>
      <w:lvlJc w:val="left"/>
      <w:pPr>
        <w:tabs>
          <w:tab w:val="num" w:pos="1440"/>
        </w:tabs>
        <w:ind w:left="1800" w:hanging="360"/>
      </w:pPr>
      <w:rPr>
        <w:rFonts w:ascii="Courier New" w:hAnsi="Courier New" w:hint="default"/>
      </w:rPr>
    </w:lvl>
    <w:lvl w:ilvl="3">
      <w:start w:val="1"/>
      <w:numFmt w:val="bullet"/>
      <w:pStyle w:val="LightGrid1"/>
      <w:lvlText w:val=""/>
      <w:lvlJc w:val="left"/>
      <w:pPr>
        <w:tabs>
          <w:tab w:val="num" w:pos="2160"/>
        </w:tabs>
        <w:ind w:left="2520" w:hanging="360"/>
      </w:pPr>
      <w:rPr>
        <w:rFonts w:ascii="Wingdings" w:hAnsi="Wingdings" w:hint="default"/>
      </w:rPr>
    </w:lvl>
    <w:lvl w:ilvl="4">
      <w:start w:val="1"/>
      <w:numFmt w:val="bullet"/>
      <w:pStyle w:val="MediumShading11"/>
      <w:lvlText w:val=""/>
      <w:lvlJc w:val="left"/>
      <w:pPr>
        <w:tabs>
          <w:tab w:val="num" w:pos="2880"/>
        </w:tabs>
        <w:ind w:left="3240" w:hanging="360"/>
      </w:pPr>
      <w:rPr>
        <w:rFonts w:ascii="Wingdings" w:hAnsi="Wingdings" w:hint="default"/>
      </w:rPr>
    </w:lvl>
    <w:lvl w:ilvl="5">
      <w:start w:val="1"/>
      <w:numFmt w:val="bullet"/>
      <w:pStyle w:val="MediumShading21"/>
      <w:lvlText w:val=""/>
      <w:lvlJc w:val="left"/>
      <w:pPr>
        <w:tabs>
          <w:tab w:val="num" w:pos="3600"/>
        </w:tabs>
        <w:ind w:left="3960" w:hanging="360"/>
      </w:pPr>
      <w:rPr>
        <w:rFonts w:ascii="Symbol" w:hAnsi="Symbol" w:hint="default"/>
      </w:rPr>
    </w:lvl>
    <w:lvl w:ilvl="6">
      <w:start w:val="1"/>
      <w:numFmt w:val="bullet"/>
      <w:pStyle w:val="MediumList11"/>
      <w:lvlText w:val="o"/>
      <w:lvlJc w:val="left"/>
      <w:pPr>
        <w:tabs>
          <w:tab w:val="num" w:pos="4320"/>
        </w:tabs>
        <w:ind w:left="4680" w:hanging="360"/>
      </w:pPr>
      <w:rPr>
        <w:rFonts w:ascii="Courier New" w:hAnsi="Courier New" w:hint="default"/>
      </w:rPr>
    </w:lvl>
    <w:lvl w:ilvl="7">
      <w:start w:val="1"/>
      <w:numFmt w:val="bullet"/>
      <w:pStyle w:val="MediumList21"/>
      <w:lvlText w:val=""/>
      <w:lvlJc w:val="left"/>
      <w:pPr>
        <w:tabs>
          <w:tab w:val="num" w:pos="5040"/>
        </w:tabs>
        <w:ind w:left="5400" w:hanging="360"/>
      </w:pPr>
      <w:rPr>
        <w:rFonts w:ascii="Wingdings" w:hAnsi="Wingdings" w:hint="default"/>
      </w:rPr>
    </w:lvl>
    <w:lvl w:ilvl="8">
      <w:start w:val="1"/>
      <w:numFmt w:val="bullet"/>
      <w:pStyle w:val="Estilo5"/>
      <w:lvlText w:val=""/>
      <w:lvlJc w:val="left"/>
      <w:pPr>
        <w:tabs>
          <w:tab w:val="num" w:pos="5760"/>
        </w:tabs>
        <w:ind w:left="6120" w:hanging="360"/>
      </w:pPr>
      <w:rPr>
        <w:rFonts w:ascii="Wingdings" w:hAnsi="Wingdings" w:hint="default"/>
      </w:r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DB928EE"/>
    <w:multiLevelType w:val="hybridMultilevel"/>
    <w:tmpl w:val="2476469A"/>
    <w:lvl w:ilvl="0" w:tplc="9E0CAF0C">
      <w:start w:val="1"/>
      <w:numFmt w:val="decimal"/>
      <w:lvlText w:val="%1."/>
      <w:lvlJc w:val="left"/>
      <w:pPr>
        <w:ind w:left="1350" w:hanging="360"/>
      </w:pPr>
      <w:rPr>
        <w:rFonts w:ascii="Cambria" w:hAnsi="Cambria"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0669FE"/>
    <w:multiLevelType w:val="hybridMultilevel"/>
    <w:tmpl w:val="BC5CC678"/>
    <w:lvl w:ilvl="0" w:tplc="7368EF6A">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C430424"/>
    <w:multiLevelType w:val="hybridMultilevel"/>
    <w:tmpl w:val="28EC4CF0"/>
    <w:lvl w:ilvl="0" w:tplc="16B68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DC61D90"/>
    <w:multiLevelType w:val="hybridMultilevel"/>
    <w:tmpl w:val="71EE2A30"/>
    <w:lvl w:ilvl="0" w:tplc="9A0C65BE">
      <w:start w:val="1"/>
      <w:numFmt w:val="decimal"/>
      <w:lvlText w:val="%1."/>
      <w:lvlJc w:val="left"/>
      <w:pPr>
        <w:tabs>
          <w:tab w:val="num" w:pos="1080"/>
        </w:tabs>
        <w:ind w:left="1080" w:hanging="360"/>
      </w:pPr>
      <w:rPr>
        <w:rFonts w:ascii="Cambria" w:hAnsi="Cambria" w:cs="Times New Roman" w:hint="default"/>
        <w:b w:val="0"/>
        <w:i w:val="0"/>
        <w:sz w:val="20"/>
        <w:szCs w:val="2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CD2B87"/>
    <w:multiLevelType w:val="hybridMultilevel"/>
    <w:tmpl w:val="73C8196C"/>
    <w:lvl w:ilvl="0" w:tplc="8C5AD9B6">
      <w:start w:val="1"/>
      <w:numFmt w:val="upperLetter"/>
      <w:lvlText w:val="%1."/>
      <w:lvlJc w:val="left"/>
      <w:pPr>
        <w:ind w:left="720" w:hanging="360"/>
      </w:pPr>
      <w:rPr>
        <w:rFonts w:asciiTheme="majorHAnsi" w:hAnsiTheme="maj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1A63FFB"/>
    <w:multiLevelType w:val="hybridMultilevel"/>
    <w:tmpl w:val="22F0B3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55225E1"/>
    <w:multiLevelType w:val="hybridMultilevel"/>
    <w:tmpl w:val="422056B8"/>
    <w:lvl w:ilvl="0" w:tplc="66983E9E">
      <w:start w:val="1"/>
      <w:numFmt w:val="decimal"/>
      <w:lvlText w:val="%1."/>
      <w:lvlJc w:val="left"/>
      <w:pPr>
        <w:ind w:left="1080" w:hanging="360"/>
      </w:pPr>
      <w:rPr>
        <w:rFonts w:hint="default"/>
        <w:i w:val="0"/>
        <w:color w:val="auto"/>
        <w:lang w:val="es-C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7B63B5"/>
    <w:multiLevelType w:val="hybridMultilevel"/>
    <w:tmpl w:val="89F4C518"/>
    <w:lvl w:ilvl="0" w:tplc="C43A80A0">
      <w:start w:val="1"/>
      <w:numFmt w:val="upperRoman"/>
      <w:lvlText w:val="%1."/>
      <w:lvlJc w:val="left"/>
      <w:pPr>
        <w:tabs>
          <w:tab w:val="num" w:pos="1080"/>
        </w:tabs>
        <w:ind w:left="1080" w:hanging="720"/>
      </w:pPr>
      <w:rPr>
        <w:rFonts w:hint="default"/>
      </w:rPr>
    </w:lvl>
    <w:lvl w:ilvl="1" w:tplc="736A0FE4">
      <w:start w:val="2"/>
      <w:numFmt w:val="upp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AD358C"/>
    <w:multiLevelType w:val="hybridMultilevel"/>
    <w:tmpl w:val="9A0C4432"/>
    <w:lvl w:ilvl="0" w:tplc="850A3D00">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5D7D4B9D"/>
    <w:multiLevelType w:val="hybridMultilevel"/>
    <w:tmpl w:val="2476469A"/>
    <w:lvl w:ilvl="0" w:tplc="9E0CAF0C">
      <w:start w:val="1"/>
      <w:numFmt w:val="decimal"/>
      <w:lvlText w:val="%1."/>
      <w:lvlJc w:val="left"/>
      <w:pPr>
        <w:ind w:left="1080" w:hanging="360"/>
      </w:pPr>
      <w:rPr>
        <w:rFonts w:ascii="Cambria" w:hAnsi="Cambria"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DF2ED9"/>
    <w:multiLevelType w:val="hybridMultilevel"/>
    <w:tmpl w:val="052CDC5E"/>
    <w:lvl w:ilvl="0" w:tplc="D92C12E8">
      <w:start w:val="1"/>
      <w:numFmt w:val="decimal"/>
      <w:lvlText w:val="%1."/>
      <w:lvlJc w:val="left"/>
      <w:pPr>
        <w:tabs>
          <w:tab w:val="num" w:pos="1860"/>
        </w:tabs>
        <w:ind w:left="186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6A101BB"/>
    <w:multiLevelType w:val="hybridMultilevel"/>
    <w:tmpl w:val="C03C5D4C"/>
    <w:lvl w:ilvl="0" w:tplc="CB3E82CC">
      <w:start w:val="1"/>
      <w:numFmt w:val="upperRoman"/>
      <w:lvlText w:val="%1."/>
      <w:lvlJc w:val="left"/>
      <w:pPr>
        <w:tabs>
          <w:tab w:val="num" w:pos="1440"/>
        </w:tabs>
        <w:ind w:left="1440" w:hanging="720"/>
      </w:pPr>
      <w:rPr>
        <w:rFonts w:cs="Times New Roman" w:hint="default"/>
        <w:b/>
      </w:rPr>
    </w:lvl>
    <w:lvl w:ilvl="1" w:tplc="B5762098">
      <w:start w:val="1"/>
      <w:numFmt w:val="decimal"/>
      <w:lvlText w:val="%2."/>
      <w:lvlJc w:val="left"/>
      <w:pPr>
        <w:tabs>
          <w:tab w:val="num" w:pos="1800"/>
        </w:tabs>
        <w:ind w:left="1800" w:hanging="360"/>
      </w:pPr>
      <w:rPr>
        <w:rFonts w:cs="Times New Roman" w:hint="default"/>
        <w:b/>
        <w:color w:val="auto"/>
        <w:lang w:val="es-CO"/>
      </w:rPr>
    </w:lvl>
    <w:lvl w:ilvl="2" w:tplc="881EAA16">
      <w:start w:val="1"/>
      <w:numFmt w:val="lowerLetter"/>
      <w:lvlText w:val="%3)"/>
      <w:lvlJc w:val="left"/>
      <w:pPr>
        <w:tabs>
          <w:tab w:val="num" w:pos="2700"/>
        </w:tabs>
        <w:ind w:left="2700" w:hanging="360"/>
      </w:pPr>
      <w:rPr>
        <w:rFonts w:cs="Times New Roman" w:hint="default"/>
      </w:rPr>
    </w:lvl>
    <w:lvl w:ilvl="3" w:tplc="B87E3F4A">
      <w:start w:val="2"/>
      <w:numFmt w:val="upperLetter"/>
      <w:lvlText w:val="%4."/>
      <w:lvlJc w:val="left"/>
      <w:pPr>
        <w:tabs>
          <w:tab w:val="num" w:pos="3240"/>
        </w:tabs>
        <w:ind w:left="3240" w:hanging="360"/>
      </w:pPr>
      <w:rPr>
        <w:rFonts w:cs="Times New Roman" w:hint="default"/>
      </w:rPr>
    </w:lvl>
    <w:lvl w:ilvl="4" w:tplc="817A8DEA">
      <w:start w:val="5"/>
      <w:numFmt w:val="bullet"/>
      <w:lvlText w:val="-"/>
      <w:lvlJc w:val="left"/>
      <w:pPr>
        <w:ind w:left="3960" w:hanging="360"/>
      </w:pPr>
      <w:rPr>
        <w:rFonts w:ascii="Cambria" w:eastAsia="Arial Unicode MS" w:hAnsi="Cambria" w:cs="Times New Roman" w:hint="default"/>
      </w:rPr>
    </w:lvl>
    <w:lvl w:ilvl="5" w:tplc="4E58E810">
      <w:start w:val="2"/>
      <w:numFmt w:val="lowerLetter"/>
      <w:lvlText w:val="%6."/>
      <w:lvlJc w:val="left"/>
      <w:pPr>
        <w:ind w:left="4860" w:hanging="360"/>
      </w:pPr>
      <w:rPr>
        <w:rFonts w:hint="default"/>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6F821423"/>
    <w:multiLevelType w:val="hybridMultilevel"/>
    <w:tmpl w:val="2476469A"/>
    <w:lvl w:ilvl="0" w:tplc="9E0CAF0C">
      <w:start w:val="1"/>
      <w:numFmt w:val="decimal"/>
      <w:lvlText w:val="%1."/>
      <w:lvlJc w:val="left"/>
      <w:pPr>
        <w:ind w:left="720" w:hanging="360"/>
      </w:pPr>
      <w:rPr>
        <w:rFonts w:ascii="Cambria" w:hAnsi="Cambria"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7B533D5"/>
    <w:multiLevelType w:val="hybridMultilevel"/>
    <w:tmpl w:val="D3922D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CE64D32"/>
    <w:multiLevelType w:val="hybridMultilevel"/>
    <w:tmpl w:val="9F8AF72C"/>
    <w:lvl w:ilvl="0" w:tplc="B09255D8">
      <w:start w:val="1"/>
      <w:numFmt w:val="decimal"/>
      <w:lvlText w:val="%1."/>
      <w:lvlJc w:val="left"/>
      <w:pPr>
        <w:tabs>
          <w:tab w:val="num" w:pos="0"/>
        </w:tabs>
      </w:pPr>
      <w:rPr>
        <w:rFonts w:ascii="Verdana" w:eastAsia="Times New Roman" w:hAnsi="Verdana" w:cs="Times New Roman" w:hint="default"/>
        <w:b w:val="0"/>
        <w:i w:val="0"/>
        <w:strike w:val="0"/>
        <w:color w:val="auto"/>
        <w:sz w:val="20"/>
      </w:rPr>
    </w:lvl>
    <w:lvl w:ilvl="1" w:tplc="3AAA13E2">
      <w:start w:val="1"/>
      <w:numFmt w:val="decimal"/>
      <w:lvlText w:val="%2."/>
      <w:lvlJc w:val="left"/>
      <w:pPr>
        <w:tabs>
          <w:tab w:val="num" w:pos="0"/>
        </w:tabs>
      </w:pPr>
      <w:rPr>
        <w:rFonts w:ascii="Verdana" w:eastAsia="Times New Roman" w:hAnsi="Verdana" w:cs="Times New Roman" w:hint="default"/>
        <w:b/>
        <w:i w:val="0"/>
        <w:strike w:val="0"/>
        <w:color w:val="auto"/>
        <w:sz w:val="20"/>
      </w:rPr>
    </w:lvl>
    <w:lvl w:ilvl="2" w:tplc="0409001B">
      <w:start w:val="1"/>
      <w:numFmt w:val="lowerRoman"/>
      <w:pStyle w:val="Estilo7"/>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62"/>
  </w:num>
  <w:num w:numId="4">
    <w:abstractNumId w:val="22"/>
  </w:num>
  <w:num w:numId="5">
    <w:abstractNumId w:val="54"/>
  </w:num>
  <w:num w:numId="6">
    <w:abstractNumId w:val="27"/>
  </w:num>
  <w:num w:numId="7">
    <w:abstractNumId w:val="7"/>
  </w:num>
  <w:num w:numId="8">
    <w:abstractNumId w:val="17"/>
  </w:num>
  <w:num w:numId="9">
    <w:abstractNumId w:val="47"/>
  </w:num>
  <w:num w:numId="10">
    <w:abstractNumId w:val="1"/>
  </w:num>
  <w:num w:numId="11">
    <w:abstractNumId w:val="41"/>
  </w:num>
  <w:num w:numId="12">
    <w:abstractNumId w:val="42"/>
  </w:num>
  <w:num w:numId="13">
    <w:abstractNumId w:val="48"/>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32"/>
  </w:num>
  <w:num w:numId="33">
    <w:abstractNumId w:val="34"/>
  </w:num>
  <w:num w:numId="34">
    <w:abstractNumId w:val="35"/>
  </w:num>
  <w:num w:numId="35">
    <w:abstractNumId w:val="36"/>
  </w:num>
  <w:num w:numId="36">
    <w:abstractNumId w:val="38"/>
  </w:num>
  <w:num w:numId="37">
    <w:abstractNumId w:val="39"/>
  </w:num>
  <w:num w:numId="38">
    <w:abstractNumId w:val="40"/>
  </w:num>
  <w:num w:numId="39">
    <w:abstractNumId w:val="44"/>
  </w:num>
  <w:num w:numId="40">
    <w:abstractNumId w:val="45"/>
  </w:num>
  <w:num w:numId="41">
    <w:abstractNumId w:val="53"/>
  </w:num>
  <w:num w:numId="42">
    <w:abstractNumId w:val="56"/>
  </w:num>
  <w:num w:numId="43">
    <w:abstractNumId w:val="57"/>
  </w:num>
  <w:num w:numId="44">
    <w:abstractNumId w:val="59"/>
  </w:num>
  <w:num w:numId="45">
    <w:abstractNumId w:val="61"/>
  </w:num>
  <w:num w:numId="46">
    <w:abstractNumId w:val="63"/>
  </w:num>
  <w:num w:numId="47">
    <w:abstractNumId w:val="64"/>
  </w:num>
  <w:num w:numId="48">
    <w:abstractNumId w:val="65"/>
  </w:num>
  <w:num w:numId="49">
    <w:abstractNumId w:val="67"/>
  </w:num>
  <w:num w:numId="50">
    <w:abstractNumId w:val="68"/>
  </w:num>
  <w:num w:numId="51">
    <w:abstractNumId w:val="21"/>
  </w:num>
  <w:num w:numId="52">
    <w:abstractNumId w:val="46"/>
  </w:num>
  <w:num w:numId="53">
    <w:abstractNumId w:val="50"/>
  </w:num>
  <w:num w:numId="54">
    <w:abstractNumId w:val="43"/>
  </w:num>
  <w:num w:numId="55">
    <w:abstractNumId w:val="55"/>
  </w:num>
  <w:num w:numId="56">
    <w:abstractNumId w:val="0"/>
  </w:num>
  <w:num w:numId="57">
    <w:abstractNumId w:val="66"/>
  </w:num>
  <w:num w:numId="58">
    <w:abstractNumId w:val="30"/>
  </w:num>
  <w:num w:numId="59">
    <w:abstractNumId w:val="29"/>
  </w:num>
  <w:num w:numId="60">
    <w:abstractNumId w:val="51"/>
  </w:num>
  <w:num w:numId="61">
    <w:abstractNumId w:val="31"/>
  </w:num>
  <w:num w:numId="62">
    <w:abstractNumId w:val="60"/>
  </w:num>
  <w:num w:numId="63">
    <w:abstractNumId w:val="20"/>
  </w:num>
  <w:num w:numId="64">
    <w:abstractNumId w:val="33"/>
  </w:num>
  <w:num w:numId="65">
    <w:abstractNumId w:val="49"/>
  </w:num>
  <w:num w:numId="66">
    <w:abstractNumId w:val="37"/>
  </w:num>
  <w:num w:numId="67">
    <w:abstractNumId w:val="52"/>
  </w:num>
  <w:num w:numId="68">
    <w:abstractNumId w:val="58"/>
  </w:num>
  <w:num w:numId="69">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7"/>
  <w:removePersonalInformation/>
  <w:removeDateAndTime/>
  <w:defaultTabStop w:val="720"/>
  <w:hyphenationZone w:val="425"/>
  <w:characterSpacingControl w:val="doNotCompress"/>
  <w:hdrShapeDefaults>
    <o:shapedefaults v:ext="edit" spidmax="16386"/>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5C"/>
    <w:rsid w:val="000002C8"/>
    <w:rsid w:val="0000032A"/>
    <w:rsid w:val="0000036F"/>
    <w:rsid w:val="00000472"/>
    <w:rsid w:val="00000645"/>
    <w:rsid w:val="00000CDA"/>
    <w:rsid w:val="000011BD"/>
    <w:rsid w:val="000016B0"/>
    <w:rsid w:val="000017F9"/>
    <w:rsid w:val="00001D4E"/>
    <w:rsid w:val="00001FAC"/>
    <w:rsid w:val="0000270F"/>
    <w:rsid w:val="00003017"/>
    <w:rsid w:val="00003756"/>
    <w:rsid w:val="00003C0A"/>
    <w:rsid w:val="00003E8B"/>
    <w:rsid w:val="00004149"/>
    <w:rsid w:val="00004260"/>
    <w:rsid w:val="00004579"/>
    <w:rsid w:val="0000484F"/>
    <w:rsid w:val="00004A86"/>
    <w:rsid w:val="00004B08"/>
    <w:rsid w:val="00004B96"/>
    <w:rsid w:val="00004DE7"/>
    <w:rsid w:val="00005AD2"/>
    <w:rsid w:val="00005CC5"/>
    <w:rsid w:val="00005E52"/>
    <w:rsid w:val="00005F8B"/>
    <w:rsid w:val="00006210"/>
    <w:rsid w:val="000065BB"/>
    <w:rsid w:val="0000665B"/>
    <w:rsid w:val="00006AEB"/>
    <w:rsid w:val="00006B28"/>
    <w:rsid w:val="00006E1F"/>
    <w:rsid w:val="000070D7"/>
    <w:rsid w:val="00007135"/>
    <w:rsid w:val="0000713D"/>
    <w:rsid w:val="0000721C"/>
    <w:rsid w:val="000079F2"/>
    <w:rsid w:val="00007C3A"/>
    <w:rsid w:val="00007E1F"/>
    <w:rsid w:val="00010E7B"/>
    <w:rsid w:val="00010F73"/>
    <w:rsid w:val="000111A4"/>
    <w:rsid w:val="00011213"/>
    <w:rsid w:val="0001139F"/>
    <w:rsid w:val="000116A9"/>
    <w:rsid w:val="00011738"/>
    <w:rsid w:val="00011BFA"/>
    <w:rsid w:val="00011D28"/>
    <w:rsid w:val="00011ED4"/>
    <w:rsid w:val="00012055"/>
    <w:rsid w:val="0001263D"/>
    <w:rsid w:val="00012E69"/>
    <w:rsid w:val="00012E8F"/>
    <w:rsid w:val="00013196"/>
    <w:rsid w:val="00013262"/>
    <w:rsid w:val="00013672"/>
    <w:rsid w:val="00013730"/>
    <w:rsid w:val="0001377C"/>
    <w:rsid w:val="00013EF8"/>
    <w:rsid w:val="00014052"/>
    <w:rsid w:val="0001468F"/>
    <w:rsid w:val="00014BFF"/>
    <w:rsid w:val="00014F0A"/>
    <w:rsid w:val="00015259"/>
    <w:rsid w:val="000152F0"/>
    <w:rsid w:val="00015B68"/>
    <w:rsid w:val="00015B85"/>
    <w:rsid w:val="00015CF2"/>
    <w:rsid w:val="00016415"/>
    <w:rsid w:val="00016669"/>
    <w:rsid w:val="000167C9"/>
    <w:rsid w:val="00016D84"/>
    <w:rsid w:val="0001714B"/>
    <w:rsid w:val="0001788C"/>
    <w:rsid w:val="00017896"/>
    <w:rsid w:val="00017B7E"/>
    <w:rsid w:val="00017D12"/>
    <w:rsid w:val="00017E9A"/>
    <w:rsid w:val="00020576"/>
    <w:rsid w:val="00020701"/>
    <w:rsid w:val="00021607"/>
    <w:rsid w:val="000216C0"/>
    <w:rsid w:val="00021715"/>
    <w:rsid w:val="00021B34"/>
    <w:rsid w:val="00021D6E"/>
    <w:rsid w:val="00021EB3"/>
    <w:rsid w:val="00022008"/>
    <w:rsid w:val="0002248F"/>
    <w:rsid w:val="00023070"/>
    <w:rsid w:val="000232B5"/>
    <w:rsid w:val="00023311"/>
    <w:rsid w:val="000234A9"/>
    <w:rsid w:val="00023512"/>
    <w:rsid w:val="0002381A"/>
    <w:rsid w:val="00023C54"/>
    <w:rsid w:val="00023F0A"/>
    <w:rsid w:val="0002440E"/>
    <w:rsid w:val="00024A8B"/>
    <w:rsid w:val="00024A9E"/>
    <w:rsid w:val="00025118"/>
    <w:rsid w:val="0002538A"/>
    <w:rsid w:val="000258DF"/>
    <w:rsid w:val="00025F88"/>
    <w:rsid w:val="00026321"/>
    <w:rsid w:val="00026955"/>
    <w:rsid w:val="00027093"/>
    <w:rsid w:val="00027161"/>
    <w:rsid w:val="000271BA"/>
    <w:rsid w:val="00027921"/>
    <w:rsid w:val="00030661"/>
    <w:rsid w:val="000308E4"/>
    <w:rsid w:val="00030CAE"/>
    <w:rsid w:val="00030CF4"/>
    <w:rsid w:val="00030EEA"/>
    <w:rsid w:val="00030EEC"/>
    <w:rsid w:val="0003140D"/>
    <w:rsid w:val="0003150E"/>
    <w:rsid w:val="000322A7"/>
    <w:rsid w:val="000329AF"/>
    <w:rsid w:val="00032A1F"/>
    <w:rsid w:val="00032C1D"/>
    <w:rsid w:val="00032DB2"/>
    <w:rsid w:val="00032DD1"/>
    <w:rsid w:val="00033658"/>
    <w:rsid w:val="00033798"/>
    <w:rsid w:val="00033A34"/>
    <w:rsid w:val="00033C0A"/>
    <w:rsid w:val="00033D3F"/>
    <w:rsid w:val="00033E63"/>
    <w:rsid w:val="00034465"/>
    <w:rsid w:val="00034479"/>
    <w:rsid w:val="000345D8"/>
    <w:rsid w:val="000347FB"/>
    <w:rsid w:val="0003487D"/>
    <w:rsid w:val="000348CD"/>
    <w:rsid w:val="00034B08"/>
    <w:rsid w:val="00035898"/>
    <w:rsid w:val="00035F55"/>
    <w:rsid w:val="00036090"/>
    <w:rsid w:val="00036277"/>
    <w:rsid w:val="00036409"/>
    <w:rsid w:val="0003681B"/>
    <w:rsid w:val="00036935"/>
    <w:rsid w:val="0003720D"/>
    <w:rsid w:val="0003738C"/>
    <w:rsid w:val="00037C0D"/>
    <w:rsid w:val="00037DD7"/>
    <w:rsid w:val="00040177"/>
    <w:rsid w:val="00040AE9"/>
    <w:rsid w:val="00040B5F"/>
    <w:rsid w:val="00040C3A"/>
    <w:rsid w:val="0004176A"/>
    <w:rsid w:val="000422ED"/>
    <w:rsid w:val="000423AC"/>
    <w:rsid w:val="00042707"/>
    <w:rsid w:val="000428AA"/>
    <w:rsid w:val="0004298E"/>
    <w:rsid w:val="00042AA3"/>
    <w:rsid w:val="00042B39"/>
    <w:rsid w:val="0004316F"/>
    <w:rsid w:val="000436BC"/>
    <w:rsid w:val="00043744"/>
    <w:rsid w:val="00043A9B"/>
    <w:rsid w:val="0004416B"/>
    <w:rsid w:val="00044320"/>
    <w:rsid w:val="000443AB"/>
    <w:rsid w:val="000444CD"/>
    <w:rsid w:val="0004465C"/>
    <w:rsid w:val="0004481A"/>
    <w:rsid w:val="00044D50"/>
    <w:rsid w:val="00044DFD"/>
    <w:rsid w:val="0004555D"/>
    <w:rsid w:val="000455F8"/>
    <w:rsid w:val="00045932"/>
    <w:rsid w:val="00045E0A"/>
    <w:rsid w:val="00045EAD"/>
    <w:rsid w:val="00046100"/>
    <w:rsid w:val="0004618D"/>
    <w:rsid w:val="00046395"/>
    <w:rsid w:val="000465C7"/>
    <w:rsid w:val="0004682F"/>
    <w:rsid w:val="00046C0E"/>
    <w:rsid w:val="00046CB9"/>
    <w:rsid w:val="00047885"/>
    <w:rsid w:val="00050A98"/>
    <w:rsid w:val="00050BD1"/>
    <w:rsid w:val="00051110"/>
    <w:rsid w:val="000515BC"/>
    <w:rsid w:val="00052739"/>
    <w:rsid w:val="00052998"/>
    <w:rsid w:val="00052A54"/>
    <w:rsid w:val="00052C79"/>
    <w:rsid w:val="000531B7"/>
    <w:rsid w:val="000535F4"/>
    <w:rsid w:val="0005362B"/>
    <w:rsid w:val="0005370C"/>
    <w:rsid w:val="00053800"/>
    <w:rsid w:val="000539A6"/>
    <w:rsid w:val="00053C8B"/>
    <w:rsid w:val="00053D00"/>
    <w:rsid w:val="00053EDB"/>
    <w:rsid w:val="00053FC6"/>
    <w:rsid w:val="00054266"/>
    <w:rsid w:val="000543FA"/>
    <w:rsid w:val="0005470A"/>
    <w:rsid w:val="0005493D"/>
    <w:rsid w:val="00054BCE"/>
    <w:rsid w:val="00054D12"/>
    <w:rsid w:val="00054E58"/>
    <w:rsid w:val="00055001"/>
    <w:rsid w:val="000552CC"/>
    <w:rsid w:val="00055503"/>
    <w:rsid w:val="0005571E"/>
    <w:rsid w:val="00055963"/>
    <w:rsid w:val="0005614C"/>
    <w:rsid w:val="000561C0"/>
    <w:rsid w:val="000566C8"/>
    <w:rsid w:val="00056775"/>
    <w:rsid w:val="0005677C"/>
    <w:rsid w:val="00056E11"/>
    <w:rsid w:val="000574FF"/>
    <w:rsid w:val="000579EC"/>
    <w:rsid w:val="00060F12"/>
    <w:rsid w:val="00061F69"/>
    <w:rsid w:val="00062052"/>
    <w:rsid w:val="00062663"/>
    <w:rsid w:val="00062A19"/>
    <w:rsid w:val="00062AD7"/>
    <w:rsid w:val="00062B74"/>
    <w:rsid w:val="00062DAA"/>
    <w:rsid w:val="00063833"/>
    <w:rsid w:val="000646CE"/>
    <w:rsid w:val="00064A26"/>
    <w:rsid w:val="00064A4D"/>
    <w:rsid w:val="00064D5C"/>
    <w:rsid w:val="00064F88"/>
    <w:rsid w:val="000653E6"/>
    <w:rsid w:val="00065807"/>
    <w:rsid w:val="00065889"/>
    <w:rsid w:val="00065907"/>
    <w:rsid w:val="000659A5"/>
    <w:rsid w:val="00065A77"/>
    <w:rsid w:val="00065BB9"/>
    <w:rsid w:val="000664AA"/>
    <w:rsid w:val="000668E2"/>
    <w:rsid w:val="00066DC1"/>
    <w:rsid w:val="00066DC3"/>
    <w:rsid w:val="00066EF9"/>
    <w:rsid w:val="00067387"/>
    <w:rsid w:val="000673D7"/>
    <w:rsid w:val="00067E4A"/>
    <w:rsid w:val="0007061E"/>
    <w:rsid w:val="0007068E"/>
    <w:rsid w:val="0007072F"/>
    <w:rsid w:val="000708D6"/>
    <w:rsid w:val="00070D39"/>
    <w:rsid w:val="00070D46"/>
    <w:rsid w:val="000710A8"/>
    <w:rsid w:val="000710D0"/>
    <w:rsid w:val="0007147B"/>
    <w:rsid w:val="0007159B"/>
    <w:rsid w:val="000716C5"/>
    <w:rsid w:val="00071F6E"/>
    <w:rsid w:val="00072066"/>
    <w:rsid w:val="0007272B"/>
    <w:rsid w:val="00072A6F"/>
    <w:rsid w:val="00072D08"/>
    <w:rsid w:val="000731E4"/>
    <w:rsid w:val="00073559"/>
    <w:rsid w:val="0007359C"/>
    <w:rsid w:val="000735CE"/>
    <w:rsid w:val="0007379B"/>
    <w:rsid w:val="000738B8"/>
    <w:rsid w:val="00073936"/>
    <w:rsid w:val="00073DD4"/>
    <w:rsid w:val="0007430D"/>
    <w:rsid w:val="00074739"/>
    <w:rsid w:val="00074A38"/>
    <w:rsid w:val="00074A70"/>
    <w:rsid w:val="00074FE8"/>
    <w:rsid w:val="00075027"/>
    <w:rsid w:val="00075262"/>
    <w:rsid w:val="00075397"/>
    <w:rsid w:val="000754FE"/>
    <w:rsid w:val="000756B3"/>
    <w:rsid w:val="00075D33"/>
    <w:rsid w:val="00075E23"/>
    <w:rsid w:val="00075F8F"/>
    <w:rsid w:val="000766DB"/>
    <w:rsid w:val="00076B66"/>
    <w:rsid w:val="0007700D"/>
    <w:rsid w:val="000771A8"/>
    <w:rsid w:val="000776FB"/>
    <w:rsid w:val="00077E68"/>
    <w:rsid w:val="0008002E"/>
    <w:rsid w:val="0008004B"/>
    <w:rsid w:val="00080090"/>
    <w:rsid w:val="00081241"/>
    <w:rsid w:val="00081831"/>
    <w:rsid w:val="00081915"/>
    <w:rsid w:val="000819B7"/>
    <w:rsid w:val="0008216F"/>
    <w:rsid w:val="00082D95"/>
    <w:rsid w:val="00082DFB"/>
    <w:rsid w:val="000832CE"/>
    <w:rsid w:val="00083436"/>
    <w:rsid w:val="00083563"/>
    <w:rsid w:val="00083661"/>
    <w:rsid w:val="000836CD"/>
    <w:rsid w:val="000838F8"/>
    <w:rsid w:val="00083E46"/>
    <w:rsid w:val="00083FB0"/>
    <w:rsid w:val="00084116"/>
    <w:rsid w:val="0008426D"/>
    <w:rsid w:val="00084660"/>
    <w:rsid w:val="000849AA"/>
    <w:rsid w:val="00084A48"/>
    <w:rsid w:val="000852BF"/>
    <w:rsid w:val="00085342"/>
    <w:rsid w:val="00085685"/>
    <w:rsid w:val="00085846"/>
    <w:rsid w:val="000859B7"/>
    <w:rsid w:val="00085AAE"/>
    <w:rsid w:val="00085F41"/>
    <w:rsid w:val="00086043"/>
    <w:rsid w:val="000862C6"/>
    <w:rsid w:val="00086971"/>
    <w:rsid w:val="0008725D"/>
    <w:rsid w:val="000873CC"/>
    <w:rsid w:val="00087C95"/>
    <w:rsid w:val="00087F4C"/>
    <w:rsid w:val="00090355"/>
    <w:rsid w:val="00090DF6"/>
    <w:rsid w:val="00091369"/>
    <w:rsid w:val="00091560"/>
    <w:rsid w:val="000923CA"/>
    <w:rsid w:val="00092B3D"/>
    <w:rsid w:val="00092D1E"/>
    <w:rsid w:val="00092D3D"/>
    <w:rsid w:val="00093196"/>
    <w:rsid w:val="00093275"/>
    <w:rsid w:val="0009344A"/>
    <w:rsid w:val="000936FF"/>
    <w:rsid w:val="000937E8"/>
    <w:rsid w:val="00093C1D"/>
    <w:rsid w:val="00094037"/>
    <w:rsid w:val="0009424C"/>
    <w:rsid w:val="000949E4"/>
    <w:rsid w:val="00095659"/>
    <w:rsid w:val="00095BE7"/>
    <w:rsid w:val="000971C4"/>
    <w:rsid w:val="000972F8"/>
    <w:rsid w:val="00097447"/>
    <w:rsid w:val="0009765A"/>
    <w:rsid w:val="0009773E"/>
    <w:rsid w:val="0009778F"/>
    <w:rsid w:val="000978D9"/>
    <w:rsid w:val="0009791F"/>
    <w:rsid w:val="00097A3D"/>
    <w:rsid w:val="00097DA5"/>
    <w:rsid w:val="000A0655"/>
    <w:rsid w:val="000A0743"/>
    <w:rsid w:val="000A0D6F"/>
    <w:rsid w:val="000A17E2"/>
    <w:rsid w:val="000A195F"/>
    <w:rsid w:val="000A1CBC"/>
    <w:rsid w:val="000A2060"/>
    <w:rsid w:val="000A2066"/>
    <w:rsid w:val="000A2204"/>
    <w:rsid w:val="000A27F3"/>
    <w:rsid w:val="000A2868"/>
    <w:rsid w:val="000A2C17"/>
    <w:rsid w:val="000A2C5F"/>
    <w:rsid w:val="000A3352"/>
    <w:rsid w:val="000A373B"/>
    <w:rsid w:val="000A392E"/>
    <w:rsid w:val="000A3ADC"/>
    <w:rsid w:val="000A495B"/>
    <w:rsid w:val="000A511F"/>
    <w:rsid w:val="000A546E"/>
    <w:rsid w:val="000A54CF"/>
    <w:rsid w:val="000A55A4"/>
    <w:rsid w:val="000A56CB"/>
    <w:rsid w:val="000A575F"/>
    <w:rsid w:val="000A5A10"/>
    <w:rsid w:val="000A5CD6"/>
    <w:rsid w:val="000A7128"/>
    <w:rsid w:val="000A73B5"/>
    <w:rsid w:val="000A73F3"/>
    <w:rsid w:val="000A76B6"/>
    <w:rsid w:val="000A777B"/>
    <w:rsid w:val="000A7AFA"/>
    <w:rsid w:val="000A7E6B"/>
    <w:rsid w:val="000B08E4"/>
    <w:rsid w:val="000B0AB4"/>
    <w:rsid w:val="000B0AD2"/>
    <w:rsid w:val="000B0B6B"/>
    <w:rsid w:val="000B12AB"/>
    <w:rsid w:val="000B15F9"/>
    <w:rsid w:val="000B1E2E"/>
    <w:rsid w:val="000B1EF0"/>
    <w:rsid w:val="000B21D2"/>
    <w:rsid w:val="000B2D3E"/>
    <w:rsid w:val="000B2DDA"/>
    <w:rsid w:val="000B2E12"/>
    <w:rsid w:val="000B2FC1"/>
    <w:rsid w:val="000B33A5"/>
    <w:rsid w:val="000B389F"/>
    <w:rsid w:val="000B40ED"/>
    <w:rsid w:val="000B421C"/>
    <w:rsid w:val="000B4DD2"/>
    <w:rsid w:val="000B5C0D"/>
    <w:rsid w:val="000B5EF5"/>
    <w:rsid w:val="000B60D1"/>
    <w:rsid w:val="000B655A"/>
    <w:rsid w:val="000B68EE"/>
    <w:rsid w:val="000B68EF"/>
    <w:rsid w:val="000B6F56"/>
    <w:rsid w:val="000B7473"/>
    <w:rsid w:val="000B77D4"/>
    <w:rsid w:val="000C13A8"/>
    <w:rsid w:val="000C14E7"/>
    <w:rsid w:val="000C174B"/>
    <w:rsid w:val="000C185A"/>
    <w:rsid w:val="000C1AEB"/>
    <w:rsid w:val="000C1C31"/>
    <w:rsid w:val="000C1C40"/>
    <w:rsid w:val="000C21D9"/>
    <w:rsid w:val="000C246A"/>
    <w:rsid w:val="000C2652"/>
    <w:rsid w:val="000C2D1E"/>
    <w:rsid w:val="000C2FC6"/>
    <w:rsid w:val="000C3537"/>
    <w:rsid w:val="000C35AA"/>
    <w:rsid w:val="000C38D0"/>
    <w:rsid w:val="000C3FAF"/>
    <w:rsid w:val="000C44F4"/>
    <w:rsid w:val="000C4608"/>
    <w:rsid w:val="000C46DB"/>
    <w:rsid w:val="000C49E5"/>
    <w:rsid w:val="000C5BC3"/>
    <w:rsid w:val="000C5BC5"/>
    <w:rsid w:val="000C606A"/>
    <w:rsid w:val="000C6197"/>
    <w:rsid w:val="000C6396"/>
    <w:rsid w:val="000C67F1"/>
    <w:rsid w:val="000C692B"/>
    <w:rsid w:val="000C6BA3"/>
    <w:rsid w:val="000C6E2F"/>
    <w:rsid w:val="000C6FA5"/>
    <w:rsid w:val="000C7830"/>
    <w:rsid w:val="000C7F80"/>
    <w:rsid w:val="000D03CE"/>
    <w:rsid w:val="000D0883"/>
    <w:rsid w:val="000D10DB"/>
    <w:rsid w:val="000D13F2"/>
    <w:rsid w:val="000D1A13"/>
    <w:rsid w:val="000D2081"/>
    <w:rsid w:val="000D2264"/>
    <w:rsid w:val="000D25C1"/>
    <w:rsid w:val="000D268E"/>
    <w:rsid w:val="000D2AC5"/>
    <w:rsid w:val="000D2B31"/>
    <w:rsid w:val="000D2BBE"/>
    <w:rsid w:val="000D2CA1"/>
    <w:rsid w:val="000D2FEA"/>
    <w:rsid w:val="000D3087"/>
    <w:rsid w:val="000D308C"/>
    <w:rsid w:val="000D3883"/>
    <w:rsid w:val="000D38BF"/>
    <w:rsid w:val="000D4302"/>
    <w:rsid w:val="000D4E2B"/>
    <w:rsid w:val="000D4EDA"/>
    <w:rsid w:val="000D5813"/>
    <w:rsid w:val="000D5F45"/>
    <w:rsid w:val="000D63AB"/>
    <w:rsid w:val="000D6940"/>
    <w:rsid w:val="000D6C2C"/>
    <w:rsid w:val="000D6F0B"/>
    <w:rsid w:val="000D77A5"/>
    <w:rsid w:val="000D7D62"/>
    <w:rsid w:val="000D7E5C"/>
    <w:rsid w:val="000E0540"/>
    <w:rsid w:val="000E0926"/>
    <w:rsid w:val="000E13FE"/>
    <w:rsid w:val="000E15E0"/>
    <w:rsid w:val="000E1735"/>
    <w:rsid w:val="000E226E"/>
    <w:rsid w:val="000E2692"/>
    <w:rsid w:val="000E26E8"/>
    <w:rsid w:val="000E2C13"/>
    <w:rsid w:val="000E2F92"/>
    <w:rsid w:val="000E33DF"/>
    <w:rsid w:val="000E36DB"/>
    <w:rsid w:val="000E43B8"/>
    <w:rsid w:val="000E4430"/>
    <w:rsid w:val="000E45FC"/>
    <w:rsid w:val="000E4DE0"/>
    <w:rsid w:val="000E5573"/>
    <w:rsid w:val="000E5EB5"/>
    <w:rsid w:val="000E5F2D"/>
    <w:rsid w:val="000E68C0"/>
    <w:rsid w:val="000E696E"/>
    <w:rsid w:val="000E6A01"/>
    <w:rsid w:val="000E6BB4"/>
    <w:rsid w:val="000E6D56"/>
    <w:rsid w:val="000E6F30"/>
    <w:rsid w:val="000E7026"/>
    <w:rsid w:val="000E710F"/>
    <w:rsid w:val="000E74A1"/>
    <w:rsid w:val="000E75B9"/>
    <w:rsid w:val="000E786A"/>
    <w:rsid w:val="000E79C6"/>
    <w:rsid w:val="000E7AB0"/>
    <w:rsid w:val="000E7DB1"/>
    <w:rsid w:val="000E7F36"/>
    <w:rsid w:val="000F005D"/>
    <w:rsid w:val="000F00FA"/>
    <w:rsid w:val="000F02CF"/>
    <w:rsid w:val="000F05CF"/>
    <w:rsid w:val="000F0780"/>
    <w:rsid w:val="000F092C"/>
    <w:rsid w:val="000F0D25"/>
    <w:rsid w:val="000F11EC"/>
    <w:rsid w:val="000F13A9"/>
    <w:rsid w:val="000F144C"/>
    <w:rsid w:val="000F15CF"/>
    <w:rsid w:val="000F1BFB"/>
    <w:rsid w:val="000F20A0"/>
    <w:rsid w:val="000F24D2"/>
    <w:rsid w:val="000F24DF"/>
    <w:rsid w:val="000F373A"/>
    <w:rsid w:val="000F37CF"/>
    <w:rsid w:val="000F4832"/>
    <w:rsid w:val="000F4860"/>
    <w:rsid w:val="000F4DFC"/>
    <w:rsid w:val="000F539A"/>
    <w:rsid w:val="000F5A43"/>
    <w:rsid w:val="000F5F5D"/>
    <w:rsid w:val="000F60D7"/>
    <w:rsid w:val="000F6422"/>
    <w:rsid w:val="000F67BF"/>
    <w:rsid w:val="000F6895"/>
    <w:rsid w:val="000F6BAD"/>
    <w:rsid w:val="000F6BB5"/>
    <w:rsid w:val="000F7212"/>
    <w:rsid w:val="000F7C1D"/>
    <w:rsid w:val="00100911"/>
    <w:rsid w:val="00100C29"/>
    <w:rsid w:val="00100DF8"/>
    <w:rsid w:val="001013B3"/>
    <w:rsid w:val="001015B1"/>
    <w:rsid w:val="0010163B"/>
    <w:rsid w:val="00101D95"/>
    <w:rsid w:val="00101F43"/>
    <w:rsid w:val="0010210A"/>
    <w:rsid w:val="0010239E"/>
    <w:rsid w:val="0010274E"/>
    <w:rsid w:val="00102E54"/>
    <w:rsid w:val="00103220"/>
    <w:rsid w:val="00103340"/>
    <w:rsid w:val="001036B1"/>
    <w:rsid w:val="001041CF"/>
    <w:rsid w:val="0010427D"/>
    <w:rsid w:val="001048C3"/>
    <w:rsid w:val="00104D50"/>
    <w:rsid w:val="00104EEF"/>
    <w:rsid w:val="00104F8F"/>
    <w:rsid w:val="001050CB"/>
    <w:rsid w:val="00105168"/>
    <w:rsid w:val="001055D3"/>
    <w:rsid w:val="00105618"/>
    <w:rsid w:val="001058B3"/>
    <w:rsid w:val="001058D8"/>
    <w:rsid w:val="00105BF1"/>
    <w:rsid w:val="00105BFF"/>
    <w:rsid w:val="00105C91"/>
    <w:rsid w:val="001063C9"/>
    <w:rsid w:val="00106BB9"/>
    <w:rsid w:val="00106D45"/>
    <w:rsid w:val="00107131"/>
    <w:rsid w:val="001072D6"/>
    <w:rsid w:val="001072DB"/>
    <w:rsid w:val="0010736F"/>
    <w:rsid w:val="00107C7C"/>
    <w:rsid w:val="00107DE1"/>
    <w:rsid w:val="00107E15"/>
    <w:rsid w:val="00107E5D"/>
    <w:rsid w:val="001102F4"/>
    <w:rsid w:val="001108C5"/>
    <w:rsid w:val="00111119"/>
    <w:rsid w:val="001111A1"/>
    <w:rsid w:val="0011146D"/>
    <w:rsid w:val="00111BBC"/>
    <w:rsid w:val="00111D90"/>
    <w:rsid w:val="001121B5"/>
    <w:rsid w:val="0011287E"/>
    <w:rsid w:val="001129FD"/>
    <w:rsid w:val="00112E9A"/>
    <w:rsid w:val="001135F0"/>
    <w:rsid w:val="00113783"/>
    <w:rsid w:val="001137BC"/>
    <w:rsid w:val="00113E36"/>
    <w:rsid w:val="00113F73"/>
    <w:rsid w:val="0011455B"/>
    <w:rsid w:val="001148E3"/>
    <w:rsid w:val="00114A3E"/>
    <w:rsid w:val="00114F8B"/>
    <w:rsid w:val="00114FA2"/>
    <w:rsid w:val="0011518A"/>
    <w:rsid w:val="0011559D"/>
    <w:rsid w:val="0011572A"/>
    <w:rsid w:val="001159C2"/>
    <w:rsid w:val="00116287"/>
    <w:rsid w:val="00116A99"/>
    <w:rsid w:val="00116AE4"/>
    <w:rsid w:val="00116DE9"/>
    <w:rsid w:val="0011729F"/>
    <w:rsid w:val="001172E3"/>
    <w:rsid w:val="00117804"/>
    <w:rsid w:val="001179C8"/>
    <w:rsid w:val="00117CAE"/>
    <w:rsid w:val="00117EC1"/>
    <w:rsid w:val="00117FA0"/>
    <w:rsid w:val="001207B6"/>
    <w:rsid w:val="00120A06"/>
    <w:rsid w:val="00121728"/>
    <w:rsid w:val="0012194D"/>
    <w:rsid w:val="00121AE2"/>
    <w:rsid w:val="00121B13"/>
    <w:rsid w:val="00121CC2"/>
    <w:rsid w:val="00121DA5"/>
    <w:rsid w:val="00122517"/>
    <w:rsid w:val="0012394B"/>
    <w:rsid w:val="00123B05"/>
    <w:rsid w:val="001241EA"/>
    <w:rsid w:val="001244C2"/>
    <w:rsid w:val="0012463E"/>
    <w:rsid w:val="00124961"/>
    <w:rsid w:val="00124FDB"/>
    <w:rsid w:val="001256DB"/>
    <w:rsid w:val="00125A0D"/>
    <w:rsid w:val="00125B5D"/>
    <w:rsid w:val="00125F82"/>
    <w:rsid w:val="001262B1"/>
    <w:rsid w:val="00126439"/>
    <w:rsid w:val="001267D6"/>
    <w:rsid w:val="00126A4C"/>
    <w:rsid w:val="001271B3"/>
    <w:rsid w:val="001272DF"/>
    <w:rsid w:val="0012741B"/>
    <w:rsid w:val="00127A2E"/>
    <w:rsid w:val="00127BEC"/>
    <w:rsid w:val="00127E42"/>
    <w:rsid w:val="0013019B"/>
    <w:rsid w:val="001302EC"/>
    <w:rsid w:val="00130B97"/>
    <w:rsid w:val="0013134A"/>
    <w:rsid w:val="00131531"/>
    <w:rsid w:val="0013174C"/>
    <w:rsid w:val="001317DE"/>
    <w:rsid w:val="00131D31"/>
    <w:rsid w:val="00131D92"/>
    <w:rsid w:val="001320D8"/>
    <w:rsid w:val="00132556"/>
    <w:rsid w:val="001325F6"/>
    <w:rsid w:val="00132991"/>
    <w:rsid w:val="001339CE"/>
    <w:rsid w:val="00133EE5"/>
    <w:rsid w:val="00134213"/>
    <w:rsid w:val="001348B4"/>
    <w:rsid w:val="0013490B"/>
    <w:rsid w:val="00134959"/>
    <w:rsid w:val="0013495E"/>
    <w:rsid w:val="00134CAE"/>
    <w:rsid w:val="00134EC9"/>
    <w:rsid w:val="00135AFF"/>
    <w:rsid w:val="00135E08"/>
    <w:rsid w:val="001362B9"/>
    <w:rsid w:val="00136BF2"/>
    <w:rsid w:val="00136BFD"/>
    <w:rsid w:val="00136C3F"/>
    <w:rsid w:val="00136CE2"/>
    <w:rsid w:val="00136E2E"/>
    <w:rsid w:val="00137213"/>
    <w:rsid w:val="00137255"/>
    <w:rsid w:val="001374B9"/>
    <w:rsid w:val="001375A9"/>
    <w:rsid w:val="001378F1"/>
    <w:rsid w:val="00137918"/>
    <w:rsid w:val="00137B73"/>
    <w:rsid w:val="00137DCE"/>
    <w:rsid w:val="00137E46"/>
    <w:rsid w:val="001400F9"/>
    <w:rsid w:val="001401BB"/>
    <w:rsid w:val="0014020B"/>
    <w:rsid w:val="00140280"/>
    <w:rsid w:val="00140AB7"/>
    <w:rsid w:val="00140CCF"/>
    <w:rsid w:val="00140D24"/>
    <w:rsid w:val="001414D2"/>
    <w:rsid w:val="001414E3"/>
    <w:rsid w:val="0014152D"/>
    <w:rsid w:val="00141F57"/>
    <w:rsid w:val="00142047"/>
    <w:rsid w:val="00142184"/>
    <w:rsid w:val="00142959"/>
    <w:rsid w:val="00142F23"/>
    <w:rsid w:val="00142F74"/>
    <w:rsid w:val="001432A1"/>
    <w:rsid w:val="001435E4"/>
    <w:rsid w:val="001437B1"/>
    <w:rsid w:val="00143E73"/>
    <w:rsid w:val="00143F2D"/>
    <w:rsid w:val="00144168"/>
    <w:rsid w:val="0014430E"/>
    <w:rsid w:val="00144DDE"/>
    <w:rsid w:val="00144E97"/>
    <w:rsid w:val="00144F7B"/>
    <w:rsid w:val="00144F9D"/>
    <w:rsid w:val="001450BB"/>
    <w:rsid w:val="0014640C"/>
    <w:rsid w:val="001464BE"/>
    <w:rsid w:val="0014683B"/>
    <w:rsid w:val="00146DFF"/>
    <w:rsid w:val="00146E2B"/>
    <w:rsid w:val="001472B0"/>
    <w:rsid w:val="001472B3"/>
    <w:rsid w:val="00147374"/>
    <w:rsid w:val="0014754E"/>
    <w:rsid w:val="0014789A"/>
    <w:rsid w:val="00147CDE"/>
    <w:rsid w:val="00147DC2"/>
    <w:rsid w:val="00150501"/>
    <w:rsid w:val="0015077B"/>
    <w:rsid w:val="00150901"/>
    <w:rsid w:val="001509F1"/>
    <w:rsid w:val="00150D67"/>
    <w:rsid w:val="0015116A"/>
    <w:rsid w:val="001516CA"/>
    <w:rsid w:val="001518CD"/>
    <w:rsid w:val="001518FF"/>
    <w:rsid w:val="00151A9C"/>
    <w:rsid w:val="00153168"/>
    <w:rsid w:val="00153864"/>
    <w:rsid w:val="00153902"/>
    <w:rsid w:val="00153C1B"/>
    <w:rsid w:val="00153D07"/>
    <w:rsid w:val="00153EF6"/>
    <w:rsid w:val="0015428A"/>
    <w:rsid w:val="00154311"/>
    <w:rsid w:val="0015476E"/>
    <w:rsid w:val="00154C44"/>
    <w:rsid w:val="00154EAA"/>
    <w:rsid w:val="00154FCE"/>
    <w:rsid w:val="001550C1"/>
    <w:rsid w:val="001552E3"/>
    <w:rsid w:val="0015559D"/>
    <w:rsid w:val="00155AF7"/>
    <w:rsid w:val="00155CBD"/>
    <w:rsid w:val="0015623F"/>
    <w:rsid w:val="0015653E"/>
    <w:rsid w:val="00156658"/>
    <w:rsid w:val="0015668B"/>
    <w:rsid w:val="001567E9"/>
    <w:rsid w:val="00156B5A"/>
    <w:rsid w:val="00156C11"/>
    <w:rsid w:val="00156C18"/>
    <w:rsid w:val="00156D89"/>
    <w:rsid w:val="00156EA4"/>
    <w:rsid w:val="00156F91"/>
    <w:rsid w:val="001572C1"/>
    <w:rsid w:val="00157D0A"/>
    <w:rsid w:val="0016081C"/>
    <w:rsid w:val="001608AF"/>
    <w:rsid w:val="00160B83"/>
    <w:rsid w:val="00160C94"/>
    <w:rsid w:val="0016148D"/>
    <w:rsid w:val="00161E86"/>
    <w:rsid w:val="001627D7"/>
    <w:rsid w:val="0016286B"/>
    <w:rsid w:val="00162936"/>
    <w:rsid w:val="0016299D"/>
    <w:rsid w:val="001629BF"/>
    <w:rsid w:val="00162C53"/>
    <w:rsid w:val="00162CA0"/>
    <w:rsid w:val="001633C1"/>
    <w:rsid w:val="00163A4B"/>
    <w:rsid w:val="00163DD9"/>
    <w:rsid w:val="001640BE"/>
    <w:rsid w:val="001642A7"/>
    <w:rsid w:val="001644A9"/>
    <w:rsid w:val="00164BC6"/>
    <w:rsid w:val="00164CE5"/>
    <w:rsid w:val="00164E6C"/>
    <w:rsid w:val="0016540B"/>
    <w:rsid w:val="00165554"/>
    <w:rsid w:val="00165600"/>
    <w:rsid w:val="00165B4C"/>
    <w:rsid w:val="0016621A"/>
    <w:rsid w:val="0016638B"/>
    <w:rsid w:val="0016677F"/>
    <w:rsid w:val="0016702C"/>
    <w:rsid w:val="00167657"/>
    <w:rsid w:val="0016793E"/>
    <w:rsid w:val="00167A34"/>
    <w:rsid w:val="00167A48"/>
    <w:rsid w:val="00167F53"/>
    <w:rsid w:val="0017016B"/>
    <w:rsid w:val="0017022F"/>
    <w:rsid w:val="0017068B"/>
    <w:rsid w:val="001707C9"/>
    <w:rsid w:val="00170E57"/>
    <w:rsid w:val="001710DA"/>
    <w:rsid w:val="00171223"/>
    <w:rsid w:val="00171833"/>
    <w:rsid w:val="00171A98"/>
    <w:rsid w:val="00171E69"/>
    <w:rsid w:val="00172176"/>
    <w:rsid w:val="00172786"/>
    <w:rsid w:val="00172BA6"/>
    <w:rsid w:val="00173BFF"/>
    <w:rsid w:val="00173D98"/>
    <w:rsid w:val="00173E25"/>
    <w:rsid w:val="00174320"/>
    <w:rsid w:val="001746C2"/>
    <w:rsid w:val="00174730"/>
    <w:rsid w:val="0017487B"/>
    <w:rsid w:val="001748AA"/>
    <w:rsid w:val="001749FD"/>
    <w:rsid w:val="00174BA1"/>
    <w:rsid w:val="00175014"/>
    <w:rsid w:val="001750F4"/>
    <w:rsid w:val="00175231"/>
    <w:rsid w:val="00175372"/>
    <w:rsid w:val="00175520"/>
    <w:rsid w:val="00175573"/>
    <w:rsid w:val="00175A9F"/>
    <w:rsid w:val="00175FC7"/>
    <w:rsid w:val="00176353"/>
    <w:rsid w:val="00176EEE"/>
    <w:rsid w:val="001770BB"/>
    <w:rsid w:val="0017778B"/>
    <w:rsid w:val="001777F9"/>
    <w:rsid w:val="001777FD"/>
    <w:rsid w:val="001801B2"/>
    <w:rsid w:val="001801CE"/>
    <w:rsid w:val="00180AF9"/>
    <w:rsid w:val="00180FC3"/>
    <w:rsid w:val="00181670"/>
    <w:rsid w:val="00181839"/>
    <w:rsid w:val="00181F9D"/>
    <w:rsid w:val="00181FF3"/>
    <w:rsid w:val="001820E3"/>
    <w:rsid w:val="00182194"/>
    <w:rsid w:val="001822BF"/>
    <w:rsid w:val="0018242E"/>
    <w:rsid w:val="00182F97"/>
    <w:rsid w:val="0018301D"/>
    <w:rsid w:val="001830D7"/>
    <w:rsid w:val="0018320C"/>
    <w:rsid w:val="00183772"/>
    <w:rsid w:val="00183B96"/>
    <w:rsid w:val="00183D57"/>
    <w:rsid w:val="0018406F"/>
    <w:rsid w:val="001840B7"/>
    <w:rsid w:val="001840DF"/>
    <w:rsid w:val="001842D3"/>
    <w:rsid w:val="00184368"/>
    <w:rsid w:val="001844F8"/>
    <w:rsid w:val="0018491F"/>
    <w:rsid w:val="00184CD1"/>
    <w:rsid w:val="00186065"/>
    <w:rsid w:val="0018609E"/>
    <w:rsid w:val="001864A9"/>
    <w:rsid w:val="001869BA"/>
    <w:rsid w:val="00186D50"/>
    <w:rsid w:val="00186DDA"/>
    <w:rsid w:val="00186EB3"/>
    <w:rsid w:val="00186F05"/>
    <w:rsid w:val="001874E7"/>
    <w:rsid w:val="001875BF"/>
    <w:rsid w:val="001876D7"/>
    <w:rsid w:val="00187970"/>
    <w:rsid w:val="00187A90"/>
    <w:rsid w:val="00187EE6"/>
    <w:rsid w:val="00187F36"/>
    <w:rsid w:val="001904BF"/>
    <w:rsid w:val="00190833"/>
    <w:rsid w:val="0019090E"/>
    <w:rsid w:val="00190A6E"/>
    <w:rsid w:val="00190AB5"/>
    <w:rsid w:val="0019117A"/>
    <w:rsid w:val="0019153B"/>
    <w:rsid w:val="00191D9E"/>
    <w:rsid w:val="00191F54"/>
    <w:rsid w:val="00191FED"/>
    <w:rsid w:val="00192852"/>
    <w:rsid w:val="00192860"/>
    <w:rsid w:val="0019315D"/>
    <w:rsid w:val="00193E53"/>
    <w:rsid w:val="00194890"/>
    <w:rsid w:val="0019558D"/>
    <w:rsid w:val="00196576"/>
    <w:rsid w:val="00196BB0"/>
    <w:rsid w:val="0019744E"/>
    <w:rsid w:val="00197D1C"/>
    <w:rsid w:val="00197ED2"/>
    <w:rsid w:val="001A0392"/>
    <w:rsid w:val="001A06B6"/>
    <w:rsid w:val="001A0A80"/>
    <w:rsid w:val="001A0C64"/>
    <w:rsid w:val="001A0E10"/>
    <w:rsid w:val="001A0EE5"/>
    <w:rsid w:val="001A12F3"/>
    <w:rsid w:val="001A167D"/>
    <w:rsid w:val="001A1F89"/>
    <w:rsid w:val="001A2E9E"/>
    <w:rsid w:val="001A326F"/>
    <w:rsid w:val="001A39C9"/>
    <w:rsid w:val="001A3AC1"/>
    <w:rsid w:val="001A3D33"/>
    <w:rsid w:val="001A4150"/>
    <w:rsid w:val="001A4462"/>
    <w:rsid w:val="001A4B19"/>
    <w:rsid w:val="001A52E6"/>
    <w:rsid w:val="001A5493"/>
    <w:rsid w:val="001A56BE"/>
    <w:rsid w:val="001A5A72"/>
    <w:rsid w:val="001A5D0E"/>
    <w:rsid w:val="001A6142"/>
    <w:rsid w:val="001A6A3C"/>
    <w:rsid w:val="001A732B"/>
    <w:rsid w:val="001A735E"/>
    <w:rsid w:val="001A73F3"/>
    <w:rsid w:val="001A75E5"/>
    <w:rsid w:val="001A7821"/>
    <w:rsid w:val="001A7870"/>
    <w:rsid w:val="001A7911"/>
    <w:rsid w:val="001B05AB"/>
    <w:rsid w:val="001B07C4"/>
    <w:rsid w:val="001B0833"/>
    <w:rsid w:val="001B0B1A"/>
    <w:rsid w:val="001B0BD9"/>
    <w:rsid w:val="001B0C0C"/>
    <w:rsid w:val="001B0CFF"/>
    <w:rsid w:val="001B0E39"/>
    <w:rsid w:val="001B1996"/>
    <w:rsid w:val="001B24D6"/>
    <w:rsid w:val="001B2A7D"/>
    <w:rsid w:val="001B2D1A"/>
    <w:rsid w:val="001B2DA4"/>
    <w:rsid w:val="001B3128"/>
    <w:rsid w:val="001B317F"/>
    <w:rsid w:val="001B397A"/>
    <w:rsid w:val="001B4309"/>
    <w:rsid w:val="001B464B"/>
    <w:rsid w:val="001B4E9A"/>
    <w:rsid w:val="001B512E"/>
    <w:rsid w:val="001B58DF"/>
    <w:rsid w:val="001B5D9D"/>
    <w:rsid w:val="001B61B1"/>
    <w:rsid w:val="001B62CB"/>
    <w:rsid w:val="001B6514"/>
    <w:rsid w:val="001B668D"/>
    <w:rsid w:val="001B6750"/>
    <w:rsid w:val="001B67FC"/>
    <w:rsid w:val="001B73E2"/>
    <w:rsid w:val="001B7715"/>
    <w:rsid w:val="001B774D"/>
    <w:rsid w:val="001B7CF7"/>
    <w:rsid w:val="001C02FD"/>
    <w:rsid w:val="001C077E"/>
    <w:rsid w:val="001C0846"/>
    <w:rsid w:val="001C08F4"/>
    <w:rsid w:val="001C0C84"/>
    <w:rsid w:val="001C1B41"/>
    <w:rsid w:val="001C1FDD"/>
    <w:rsid w:val="001C258F"/>
    <w:rsid w:val="001C286E"/>
    <w:rsid w:val="001C31CD"/>
    <w:rsid w:val="001C328C"/>
    <w:rsid w:val="001C3605"/>
    <w:rsid w:val="001C398A"/>
    <w:rsid w:val="001C3B7C"/>
    <w:rsid w:val="001C4035"/>
    <w:rsid w:val="001C41DF"/>
    <w:rsid w:val="001C48D2"/>
    <w:rsid w:val="001C49B1"/>
    <w:rsid w:val="001C4D40"/>
    <w:rsid w:val="001C5071"/>
    <w:rsid w:val="001C5413"/>
    <w:rsid w:val="001C5CF6"/>
    <w:rsid w:val="001C6129"/>
    <w:rsid w:val="001C65BC"/>
    <w:rsid w:val="001C65C8"/>
    <w:rsid w:val="001C7030"/>
    <w:rsid w:val="001C7080"/>
    <w:rsid w:val="001C741A"/>
    <w:rsid w:val="001C79C5"/>
    <w:rsid w:val="001C7A7B"/>
    <w:rsid w:val="001C7D08"/>
    <w:rsid w:val="001C7FB9"/>
    <w:rsid w:val="001D0110"/>
    <w:rsid w:val="001D018F"/>
    <w:rsid w:val="001D08B3"/>
    <w:rsid w:val="001D0A2D"/>
    <w:rsid w:val="001D0C3F"/>
    <w:rsid w:val="001D0FE9"/>
    <w:rsid w:val="001D12CC"/>
    <w:rsid w:val="001D173D"/>
    <w:rsid w:val="001D1AB6"/>
    <w:rsid w:val="001D2A57"/>
    <w:rsid w:val="001D3235"/>
    <w:rsid w:val="001D33EA"/>
    <w:rsid w:val="001D40A4"/>
    <w:rsid w:val="001D4838"/>
    <w:rsid w:val="001D4920"/>
    <w:rsid w:val="001D4CB6"/>
    <w:rsid w:val="001D4DCB"/>
    <w:rsid w:val="001D517C"/>
    <w:rsid w:val="001D5183"/>
    <w:rsid w:val="001D53DD"/>
    <w:rsid w:val="001D568D"/>
    <w:rsid w:val="001D574C"/>
    <w:rsid w:val="001D5983"/>
    <w:rsid w:val="001D5CAE"/>
    <w:rsid w:val="001D601A"/>
    <w:rsid w:val="001D6250"/>
    <w:rsid w:val="001D65EF"/>
    <w:rsid w:val="001D679A"/>
    <w:rsid w:val="001D6933"/>
    <w:rsid w:val="001D6A0D"/>
    <w:rsid w:val="001D70DC"/>
    <w:rsid w:val="001D7122"/>
    <w:rsid w:val="001D714A"/>
    <w:rsid w:val="001D72C4"/>
    <w:rsid w:val="001D7707"/>
    <w:rsid w:val="001D78C3"/>
    <w:rsid w:val="001D79BD"/>
    <w:rsid w:val="001D7D0B"/>
    <w:rsid w:val="001D7EE5"/>
    <w:rsid w:val="001E007C"/>
    <w:rsid w:val="001E0437"/>
    <w:rsid w:val="001E0701"/>
    <w:rsid w:val="001E0794"/>
    <w:rsid w:val="001E0B07"/>
    <w:rsid w:val="001E0DAE"/>
    <w:rsid w:val="001E0E3A"/>
    <w:rsid w:val="001E0E8D"/>
    <w:rsid w:val="001E199C"/>
    <w:rsid w:val="001E1A30"/>
    <w:rsid w:val="001E1ACF"/>
    <w:rsid w:val="001E1BB1"/>
    <w:rsid w:val="001E1DA0"/>
    <w:rsid w:val="001E20DA"/>
    <w:rsid w:val="001E2E2B"/>
    <w:rsid w:val="001E3CF8"/>
    <w:rsid w:val="001E3D9F"/>
    <w:rsid w:val="001E3F2B"/>
    <w:rsid w:val="001E446E"/>
    <w:rsid w:val="001E44AA"/>
    <w:rsid w:val="001E478E"/>
    <w:rsid w:val="001E4878"/>
    <w:rsid w:val="001E4B65"/>
    <w:rsid w:val="001E4BF9"/>
    <w:rsid w:val="001E54F6"/>
    <w:rsid w:val="001E5710"/>
    <w:rsid w:val="001E616F"/>
    <w:rsid w:val="001E626D"/>
    <w:rsid w:val="001E730E"/>
    <w:rsid w:val="001E7B01"/>
    <w:rsid w:val="001E7E5D"/>
    <w:rsid w:val="001E7F5B"/>
    <w:rsid w:val="001F0BAC"/>
    <w:rsid w:val="001F183E"/>
    <w:rsid w:val="001F196E"/>
    <w:rsid w:val="001F1D1D"/>
    <w:rsid w:val="001F1FCA"/>
    <w:rsid w:val="001F2029"/>
    <w:rsid w:val="001F21BE"/>
    <w:rsid w:val="001F2493"/>
    <w:rsid w:val="001F2850"/>
    <w:rsid w:val="001F2A99"/>
    <w:rsid w:val="001F3206"/>
    <w:rsid w:val="001F36D9"/>
    <w:rsid w:val="001F3808"/>
    <w:rsid w:val="001F3C33"/>
    <w:rsid w:val="001F46B7"/>
    <w:rsid w:val="001F4A50"/>
    <w:rsid w:val="001F4AAC"/>
    <w:rsid w:val="001F4AD7"/>
    <w:rsid w:val="001F4BD9"/>
    <w:rsid w:val="001F5239"/>
    <w:rsid w:val="001F58AE"/>
    <w:rsid w:val="001F5F72"/>
    <w:rsid w:val="001F606B"/>
    <w:rsid w:val="001F6B91"/>
    <w:rsid w:val="001F7317"/>
    <w:rsid w:val="001F7DEA"/>
    <w:rsid w:val="001F7E4C"/>
    <w:rsid w:val="00200042"/>
    <w:rsid w:val="0020078A"/>
    <w:rsid w:val="002010F0"/>
    <w:rsid w:val="00201149"/>
    <w:rsid w:val="00202938"/>
    <w:rsid w:val="002035AD"/>
    <w:rsid w:val="0020428A"/>
    <w:rsid w:val="00204333"/>
    <w:rsid w:val="00204493"/>
    <w:rsid w:val="002044A6"/>
    <w:rsid w:val="002044DA"/>
    <w:rsid w:val="0020451F"/>
    <w:rsid w:val="00204A07"/>
    <w:rsid w:val="0020504A"/>
    <w:rsid w:val="002050C1"/>
    <w:rsid w:val="00205360"/>
    <w:rsid w:val="00205C87"/>
    <w:rsid w:val="00205EF2"/>
    <w:rsid w:val="00206580"/>
    <w:rsid w:val="00206B2C"/>
    <w:rsid w:val="00206FD6"/>
    <w:rsid w:val="00207430"/>
    <w:rsid w:val="00207A63"/>
    <w:rsid w:val="00207A7B"/>
    <w:rsid w:val="00207BA3"/>
    <w:rsid w:val="00207D88"/>
    <w:rsid w:val="00207E60"/>
    <w:rsid w:val="00210034"/>
    <w:rsid w:val="002102E0"/>
    <w:rsid w:val="002106BD"/>
    <w:rsid w:val="00210A0E"/>
    <w:rsid w:val="00210CEC"/>
    <w:rsid w:val="00210D17"/>
    <w:rsid w:val="00210D4F"/>
    <w:rsid w:val="00211639"/>
    <w:rsid w:val="002117CE"/>
    <w:rsid w:val="002119CF"/>
    <w:rsid w:val="00211E05"/>
    <w:rsid w:val="002126B2"/>
    <w:rsid w:val="002126D9"/>
    <w:rsid w:val="0021289C"/>
    <w:rsid w:val="00212A51"/>
    <w:rsid w:val="00212A7E"/>
    <w:rsid w:val="00212B1F"/>
    <w:rsid w:val="00212DC0"/>
    <w:rsid w:val="00212FEF"/>
    <w:rsid w:val="002133DD"/>
    <w:rsid w:val="002139B8"/>
    <w:rsid w:val="00213CE7"/>
    <w:rsid w:val="002144DC"/>
    <w:rsid w:val="00214F4E"/>
    <w:rsid w:val="002159C3"/>
    <w:rsid w:val="00215A3F"/>
    <w:rsid w:val="00215C4E"/>
    <w:rsid w:val="00215FDC"/>
    <w:rsid w:val="00216276"/>
    <w:rsid w:val="00216290"/>
    <w:rsid w:val="002163E3"/>
    <w:rsid w:val="0021648A"/>
    <w:rsid w:val="002164B6"/>
    <w:rsid w:val="0021687A"/>
    <w:rsid w:val="00216D92"/>
    <w:rsid w:val="00216E12"/>
    <w:rsid w:val="00217073"/>
    <w:rsid w:val="002170A0"/>
    <w:rsid w:val="00217648"/>
    <w:rsid w:val="0021787A"/>
    <w:rsid w:val="00217918"/>
    <w:rsid w:val="00217BE0"/>
    <w:rsid w:val="00217D23"/>
    <w:rsid w:val="00217D58"/>
    <w:rsid w:val="00217DCB"/>
    <w:rsid w:val="0022080F"/>
    <w:rsid w:val="00220995"/>
    <w:rsid w:val="00220C98"/>
    <w:rsid w:val="00221882"/>
    <w:rsid w:val="00221A95"/>
    <w:rsid w:val="00221D3B"/>
    <w:rsid w:val="002228E4"/>
    <w:rsid w:val="0022325B"/>
    <w:rsid w:val="0022363F"/>
    <w:rsid w:val="00223DC1"/>
    <w:rsid w:val="00223E1A"/>
    <w:rsid w:val="00223F08"/>
    <w:rsid w:val="0022476D"/>
    <w:rsid w:val="0022485A"/>
    <w:rsid w:val="00224A01"/>
    <w:rsid w:val="00224D21"/>
    <w:rsid w:val="00224D3C"/>
    <w:rsid w:val="00224D88"/>
    <w:rsid w:val="002250A3"/>
    <w:rsid w:val="00225473"/>
    <w:rsid w:val="002259E0"/>
    <w:rsid w:val="00226436"/>
    <w:rsid w:val="00226EE6"/>
    <w:rsid w:val="00227176"/>
    <w:rsid w:val="002275B6"/>
    <w:rsid w:val="00230ED4"/>
    <w:rsid w:val="0023138D"/>
    <w:rsid w:val="002318F1"/>
    <w:rsid w:val="00231A7E"/>
    <w:rsid w:val="00231B3A"/>
    <w:rsid w:val="00231F5B"/>
    <w:rsid w:val="0023253E"/>
    <w:rsid w:val="00232699"/>
    <w:rsid w:val="00233556"/>
    <w:rsid w:val="00233754"/>
    <w:rsid w:val="00233A2A"/>
    <w:rsid w:val="00233ADE"/>
    <w:rsid w:val="00234195"/>
    <w:rsid w:val="00234DCC"/>
    <w:rsid w:val="00234E9B"/>
    <w:rsid w:val="00235217"/>
    <w:rsid w:val="002352F1"/>
    <w:rsid w:val="00235882"/>
    <w:rsid w:val="00235C94"/>
    <w:rsid w:val="002367BF"/>
    <w:rsid w:val="00236929"/>
    <w:rsid w:val="00236BC1"/>
    <w:rsid w:val="0023712E"/>
    <w:rsid w:val="00237839"/>
    <w:rsid w:val="00237BF7"/>
    <w:rsid w:val="002406F8"/>
    <w:rsid w:val="002412BD"/>
    <w:rsid w:val="002413C6"/>
    <w:rsid w:val="00241518"/>
    <w:rsid w:val="00241871"/>
    <w:rsid w:val="00242435"/>
    <w:rsid w:val="00242EE2"/>
    <w:rsid w:val="0024314E"/>
    <w:rsid w:val="0024359A"/>
    <w:rsid w:val="002435CE"/>
    <w:rsid w:val="0024399A"/>
    <w:rsid w:val="00243D48"/>
    <w:rsid w:val="00243F98"/>
    <w:rsid w:val="0024436B"/>
    <w:rsid w:val="00244522"/>
    <w:rsid w:val="00244577"/>
    <w:rsid w:val="0024466B"/>
    <w:rsid w:val="002447E7"/>
    <w:rsid w:val="00244DD4"/>
    <w:rsid w:val="00245284"/>
    <w:rsid w:val="002452C9"/>
    <w:rsid w:val="002452D4"/>
    <w:rsid w:val="0024533F"/>
    <w:rsid w:val="00245E16"/>
    <w:rsid w:val="00246249"/>
    <w:rsid w:val="00246D1F"/>
    <w:rsid w:val="002470AA"/>
    <w:rsid w:val="00247102"/>
    <w:rsid w:val="002473A9"/>
    <w:rsid w:val="00247403"/>
    <w:rsid w:val="00247542"/>
    <w:rsid w:val="00247701"/>
    <w:rsid w:val="00250188"/>
    <w:rsid w:val="002501DF"/>
    <w:rsid w:val="002502FA"/>
    <w:rsid w:val="0025035A"/>
    <w:rsid w:val="00250F6D"/>
    <w:rsid w:val="002512A9"/>
    <w:rsid w:val="00251815"/>
    <w:rsid w:val="00251AD4"/>
    <w:rsid w:val="00251AF9"/>
    <w:rsid w:val="002528A3"/>
    <w:rsid w:val="002528A8"/>
    <w:rsid w:val="002529EF"/>
    <w:rsid w:val="00252D46"/>
    <w:rsid w:val="00252F69"/>
    <w:rsid w:val="00253419"/>
    <w:rsid w:val="0025362D"/>
    <w:rsid w:val="00253D89"/>
    <w:rsid w:val="00253ECD"/>
    <w:rsid w:val="00254727"/>
    <w:rsid w:val="002547D6"/>
    <w:rsid w:val="00255A87"/>
    <w:rsid w:val="00255E75"/>
    <w:rsid w:val="002560A3"/>
    <w:rsid w:val="002561F9"/>
    <w:rsid w:val="0025645E"/>
    <w:rsid w:val="002571C0"/>
    <w:rsid w:val="002571E1"/>
    <w:rsid w:val="0025721A"/>
    <w:rsid w:val="00257226"/>
    <w:rsid w:val="0025762A"/>
    <w:rsid w:val="0025788C"/>
    <w:rsid w:val="0025794B"/>
    <w:rsid w:val="00257E30"/>
    <w:rsid w:val="00260014"/>
    <w:rsid w:val="0026030B"/>
    <w:rsid w:val="0026036B"/>
    <w:rsid w:val="00260498"/>
    <w:rsid w:val="00260B9D"/>
    <w:rsid w:val="00261D46"/>
    <w:rsid w:val="00261FF3"/>
    <w:rsid w:val="00262F24"/>
    <w:rsid w:val="00262FE7"/>
    <w:rsid w:val="00263949"/>
    <w:rsid w:val="002639B4"/>
    <w:rsid w:val="00263C9E"/>
    <w:rsid w:val="002641DA"/>
    <w:rsid w:val="00264C08"/>
    <w:rsid w:val="00264D87"/>
    <w:rsid w:val="00265475"/>
    <w:rsid w:val="00265763"/>
    <w:rsid w:val="00265979"/>
    <w:rsid w:val="00265CC8"/>
    <w:rsid w:val="00265E2F"/>
    <w:rsid w:val="00266868"/>
    <w:rsid w:val="00266B56"/>
    <w:rsid w:val="00266B61"/>
    <w:rsid w:val="0026712A"/>
    <w:rsid w:val="0026748B"/>
    <w:rsid w:val="002676E2"/>
    <w:rsid w:val="00267CAA"/>
    <w:rsid w:val="00267FD8"/>
    <w:rsid w:val="0027028C"/>
    <w:rsid w:val="002704DB"/>
    <w:rsid w:val="00270CCF"/>
    <w:rsid w:val="00270D43"/>
    <w:rsid w:val="00270E01"/>
    <w:rsid w:val="00271490"/>
    <w:rsid w:val="00272034"/>
    <w:rsid w:val="00272278"/>
    <w:rsid w:val="00272862"/>
    <w:rsid w:val="00272A9A"/>
    <w:rsid w:val="00272E96"/>
    <w:rsid w:val="00273352"/>
    <w:rsid w:val="00273723"/>
    <w:rsid w:val="00273B48"/>
    <w:rsid w:val="002746CE"/>
    <w:rsid w:val="00274F86"/>
    <w:rsid w:val="002752D3"/>
    <w:rsid w:val="00275A72"/>
    <w:rsid w:val="002763AE"/>
    <w:rsid w:val="0027673F"/>
    <w:rsid w:val="002767C9"/>
    <w:rsid w:val="00276D62"/>
    <w:rsid w:val="002773C2"/>
    <w:rsid w:val="00277AC6"/>
    <w:rsid w:val="002804FF"/>
    <w:rsid w:val="00280936"/>
    <w:rsid w:val="00280D03"/>
    <w:rsid w:val="00281002"/>
    <w:rsid w:val="00281391"/>
    <w:rsid w:val="0028148D"/>
    <w:rsid w:val="00281754"/>
    <w:rsid w:val="002817B4"/>
    <w:rsid w:val="002822DA"/>
    <w:rsid w:val="00282E05"/>
    <w:rsid w:val="0028455A"/>
    <w:rsid w:val="002845CB"/>
    <w:rsid w:val="002846C1"/>
    <w:rsid w:val="002849E0"/>
    <w:rsid w:val="00284D12"/>
    <w:rsid w:val="00284DE8"/>
    <w:rsid w:val="0028514D"/>
    <w:rsid w:val="002851FD"/>
    <w:rsid w:val="00285740"/>
    <w:rsid w:val="00285772"/>
    <w:rsid w:val="0028583A"/>
    <w:rsid w:val="002859D3"/>
    <w:rsid w:val="00285F07"/>
    <w:rsid w:val="00285F63"/>
    <w:rsid w:val="002861AB"/>
    <w:rsid w:val="00286308"/>
    <w:rsid w:val="002868D4"/>
    <w:rsid w:val="00286920"/>
    <w:rsid w:val="00286D5A"/>
    <w:rsid w:val="00287511"/>
    <w:rsid w:val="0028779B"/>
    <w:rsid w:val="00287957"/>
    <w:rsid w:val="00287AD5"/>
    <w:rsid w:val="00287B40"/>
    <w:rsid w:val="00290140"/>
    <w:rsid w:val="002901A6"/>
    <w:rsid w:val="00291197"/>
    <w:rsid w:val="002915A4"/>
    <w:rsid w:val="00291852"/>
    <w:rsid w:val="00291B27"/>
    <w:rsid w:val="00291CB2"/>
    <w:rsid w:val="00291E29"/>
    <w:rsid w:val="00292AF9"/>
    <w:rsid w:val="00292BDB"/>
    <w:rsid w:val="002933D1"/>
    <w:rsid w:val="00293632"/>
    <w:rsid w:val="00293886"/>
    <w:rsid w:val="002939B1"/>
    <w:rsid w:val="00293A69"/>
    <w:rsid w:val="00293BD4"/>
    <w:rsid w:val="002949A6"/>
    <w:rsid w:val="00294BF5"/>
    <w:rsid w:val="00295580"/>
    <w:rsid w:val="002955AB"/>
    <w:rsid w:val="00295B56"/>
    <w:rsid w:val="00295E72"/>
    <w:rsid w:val="00297407"/>
    <w:rsid w:val="002978BD"/>
    <w:rsid w:val="002978D3"/>
    <w:rsid w:val="00297DAC"/>
    <w:rsid w:val="002A0AAE"/>
    <w:rsid w:val="002A0C80"/>
    <w:rsid w:val="002A0F05"/>
    <w:rsid w:val="002A15E0"/>
    <w:rsid w:val="002A1897"/>
    <w:rsid w:val="002A1992"/>
    <w:rsid w:val="002A1AEE"/>
    <w:rsid w:val="002A1CB2"/>
    <w:rsid w:val="002A26A9"/>
    <w:rsid w:val="002A2BB8"/>
    <w:rsid w:val="002A2E13"/>
    <w:rsid w:val="002A3123"/>
    <w:rsid w:val="002A357B"/>
    <w:rsid w:val="002A35C4"/>
    <w:rsid w:val="002A37F0"/>
    <w:rsid w:val="002A3A10"/>
    <w:rsid w:val="002A4293"/>
    <w:rsid w:val="002A4AF0"/>
    <w:rsid w:val="002A4CB5"/>
    <w:rsid w:val="002A4FFC"/>
    <w:rsid w:val="002A51F5"/>
    <w:rsid w:val="002A54A2"/>
    <w:rsid w:val="002A55D8"/>
    <w:rsid w:val="002A5820"/>
    <w:rsid w:val="002A58AC"/>
    <w:rsid w:val="002A5980"/>
    <w:rsid w:val="002A59D5"/>
    <w:rsid w:val="002A5BDA"/>
    <w:rsid w:val="002A5E63"/>
    <w:rsid w:val="002A5F69"/>
    <w:rsid w:val="002A62C7"/>
    <w:rsid w:val="002A6D47"/>
    <w:rsid w:val="002A6D6E"/>
    <w:rsid w:val="002A75CD"/>
    <w:rsid w:val="002A762B"/>
    <w:rsid w:val="002A78E5"/>
    <w:rsid w:val="002A797C"/>
    <w:rsid w:val="002B02DF"/>
    <w:rsid w:val="002B0310"/>
    <w:rsid w:val="002B049F"/>
    <w:rsid w:val="002B1621"/>
    <w:rsid w:val="002B1840"/>
    <w:rsid w:val="002B184F"/>
    <w:rsid w:val="002B2064"/>
    <w:rsid w:val="002B2684"/>
    <w:rsid w:val="002B26AA"/>
    <w:rsid w:val="002B26C1"/>
    <w:rsid w:val="002B2EC0"/>
    <w:rsid w:val="002B31DE"/>
    <w:rsid w:val="002B31F7"/>
    <w:rsid w:val="002B3710"/>
    <w:rsid w:val="002B38D3"/>
    <w:rsid w:val="002B3A7D"/>
    <w:rsid w:val="002B3A99"/>
    <w:rsid w:val="002B44BF"/>
    <w:rsid w:val="002B46AB"/>
    <w:rsid w:val="002B5244"/>
    <w:rsid w:val="002B5929"/>
    <w:rsid w:val="002B5C25"/>
    <w:rsid w:val="002B5C5B"/>
    <w:rsid w:val="002B5CA7"/>
    <w:rsid w:val="002B5F76"/>
    <w:rsid w:val="002B6194"/>
    <w:rsid w:val="002B64D3"/>
    <w:rsid w:val="002B6A63"/>
    <w:rsid w:val="002B757B"/>
    <w:rsid w:val="002B76B0"/>
    <w:rsid w:val="002B7762"/>
    <w:rsid w:val="002B79AD"/>
    <w:rsid w:val="002B7DEB"/>
    <w:rsid w:val="002B7ED9"/>
    <w:rsid w:val="002C006D"/>
    <w:rsid w:val="002C0080"/>
    <w:rsid w:val="002C0102"/>
    <w:rsid w:val="002C045F"/>
    <w:rsid w:val="002C0A67"/>
    <w:rsid w:val="002C0CB9"/>
    <w:rsid w:val="002C0D63"/>
    <w:rsid w:val="002C15C4"/>
    <w:rsid w:val="002C1B42"/>
    <w:rsid w:val="002C1C64"/>
    <w:rsid w:val="002C1FF8"/>
    <w:rsid w:val="002C24AA"/>
    <w:rsid w:val="002C2904"/>
    <w:rsid w:val="002C2B7C"/>
    <w:rsid w:val="002C34A2"/>
    <w:rsid w:val="002C3B14"/>
    <w:rsid w:val="002C4030"/>
    <w:rsid w:val="002C4287"/>
    <w:rsid w:val="002C42C4"/>
    <w:rsid w:val="002C4389"/>
    <w:rsid w:val="002C4605"/>
    <w:rsid w:val="002C4864"/>
    <w:rsid w:val="002C4A65"/>
    <w:rsid w:val="002C5523"/>
    <w:rsid w:val="002C591F"/>
    <w:rsid w:val="002C5CA9"/>
    <w:rsid w:val="002C6019"/>
    <w:rsid w:val="002C6225"/>
    <w:rsid w:val="002C62AA"/>
    <w:rsid w:val="002C633D"/>
    <w:rsid w:val="002C65E0"/>
    <w:rsid w:val="002C718C"/>
    <w:rsid w:val="002C764F"/>
    <w:rsid w:val="002C7799"/>
    <w:rsid w:val="002C7A05"/>
    <w:rsid w:val="002D00ED"/>
    <w:rsid w:val="002D0721"/>
    <w:rsid w:val="002D07E6"/>
    <w:rsid w:val="002D0E82"/>
    <w:rsid w:val="002D1830"/>
    <w:rsid w:val="002D18B6"/>
    <w:rsid w:val="002D18D9"/>
    <w:rsid w:val="002D2B26"/>
    <w:rsid w:val="002D31B6"/>
    <w:rsid w:val="002D3204"/>
    <w:rsid w:val="002D3360"/>
    <w:rsid w:val="002D358D"/>
    <w:rsid w:val="002D38A8"/>
    <w:rsid w:val="002D432A"/>
    <w:rsid w:val="002D462C"/>
    <w:rsid w:val="002D49D8"/>
    <w:rsid w:val="002D4FBE"/>
    <w:rsid w:val="002D6432"/>
    <w:rsid w:val="002D6537"/>
    <w:rsid w:val="002D65D6"/>
    <w:rsid w:val="002D660F"/>
    <w:rsid w:val="002D6DFA"/>
    <w:rsid w:val="002D6FEA"/>
    <w:rsid w:val="002D7848"/>
    <w:rsid w:val="002D7A44"/>
    <w:rsid w:val="002D7C75"/>
    <w:rsid w:val="002D7EA2"/>
    <w:rsid w:val="002D7EC8"/>
    <w:rsid w:val="002D7FF1"/>
    <w:rsid w:val="002E02FF"/>
    <w:rsid w:val="002E06CC"/>
    <w:rsid w:val="002E075E"/>
    <w:rsid w:val="002E07B0"/>
    <w:rsid w:val="002E0A05"/>
    <w:rsid w:val="002E1155"/>
    <w:rsid w:val="002E118C"/>
    <w:rsid w:val="002E11D8"/>
    <w:rsid w:val="002E1601"/>
    <w:rsid w:val="002E187C"/>
    <w:rsid w:val="002E1A9E"/>
    <w:rsid w:val="002E214D"/>
    <w:rsid w:val="002E2A8A"/>
    <w:rsid w:val="002E2B53"/>
    <w:rsid w:val="002E2BFD"/>
    <w:rsid w:val="002E2D5E"/>
    <w:rsid w:val="002E2F8E"/>
    <w:rsid w:val="002E3978"/>
    <w:rsid w:val="002E3E41"/>
    <w:rsid w:val="002E420E"/>
    <w:rsid w:val="002E4339"/>
    <w:rsid w:val="002E4C22"/>
    <w:rsid w:val="002E5579"/>
    <w:rsid w:val="002E5624"/>
    <w:rsid w:val="002E583B"/>
    <w:rsid w:val="002E5999"/>
    <w:rsid w:val="002E5E68"/>
    <w:rsid w:val="002E5FBD"/>
    <w:rsid w:val="002E6498"/>
    <w:rsid w:val="002E67C3"/>
    <w:rsid w:val="002E67CD"/>
    <w:rsid w:val="002E68C8"/>
    <w:rsid w:val="002E7000"/>
    <w:rsid w:val="002E78CE"/>
    <w:rsid w:val="002E7C1A"/>
    <w:rsid w:val="002F006D"/>
    <w:rsid w:val="002F085C"/>
    <w:rsid w:val="002F0CCD"/>
    <w:rsid w:val="002F0FB2"/>
    <w:rsid w:val="002F1177"/>
    <w:rsid w:val="002F1768"/>
    <w:rsid w:val="002F1A55"/>
    <w:rsid w:val="002F1ED2"/>
    <w:rsid w:val="002F225F"/>
    <w:rsid w:val="002F2480"/>
    <w:rsid w:val="002F26D5"/>
    <w:rsid w:val="002F2D34"/>
    <w:rsid w:val="002F3559"/>
    <w:rsid w:val="002F35FC"/>
    <w:rsid w:val="002F3964"/>
    <w:rsid w:val="002F3CDA"/>
    <w:rsid w:val="002F3D36"/>
    <w:rsid w:val="002F3F97"/>
    <w:rsid w:val="002F3FD1"/>
    <w:rsid w:val="002F464F"/>
    <w:rsid w:val="002F485D"/>
    <w:rsid w:val="002F4876"/>
    <w:rsid w:val="002F4A1F"/>
    <w:rsid w:val="002F4D08"/>
    <w:rsid w:val="002F4DC1"/>
    <w:rsid w:val="002F5403"/>
    <w:rsid w:val="002F5526"/>
    <w:rsid w:val="002F596C"/>
    <w:rsid w:val="002F5DAF"/>
    <w:rsid w:val="002F6F78"/>
    <w:rsid w:val="003002BA"/>
    <w:rsid w:val="003005A7"/>
    <w:rsid w:val="0030082A"/>
    <w:rsid w:val="00300DE6"/>
    <w:rsid w:val="00300DF5"/>
    <w:rsid w:val="003017B6"/>
    <w:rsid w:val="003018E5"/>
    <w:rsid w:val="00301E20"/>
    <w:rsid w:val="00301F70"/>
    <w:rsid w:val="00302347"/>
    <w:rsid w:val="00302733"/>
    <w:rsid w:val="00302A64"/>
    <w:rsid w:val="00302B63"/>
    <w:rsid w:val="00302C6C"/>
    <w:rsid w:val="003032E4"/>
    <w:rsid w:val="00303416"/>
    <w:rsid w:val="00303433"/>
    <w:rsid w:val="003034B3"/>
    <w:rsid w:val="003034CE"/>
    <w:rsid w:val="003036B5"/>
    <w:rsid w:val="003037F0"/>
    <w:rsid w:val="00303974"/>
    <w:rsid w:val="003039F4"/>
    <w:rsid w:val="0030433B"/>
    <w:rsid w:val="003045D6"/>
    <w:rsid w:val="003045DB"/>
    <w:rsid w:val="00304AD9"/>
    <w:rsid w:val="00304CFD"/>
    <w:rsid w:val="003050B9"/>
    <w:rsid w:val="0030512D"/>
    <w:rsid w:val="00305309"/>
    <w:rsid w:val="0030544E"/>
    <w:rsid w:val="00305470"/>
    <w:rsid w:val="00305918"/>
    <w:rsid w:val="00305949"/>
    <w:rsid w:val="00305956"/>
    <w:rsid w:val="0030616D"/>
    <w:rsid w:val="00306486"/>
    <w:rsid w:val="00306880"/>
    <w:rsid w:val="00306C37"/>
    <w:rsid w:val="0030711D"/>
    <w:rsid w:val="00307347"/>
    <w:rsid w:val="0030751F"/>
    <w:rsid w:val="00307920"/>
    <w:rsid w:val="00307B49"/>
    <w:rsid w:val="00307EE5"/>
    <w:rsid w:val="0031005E"/>
    <w:rsid w:val="0031045A"/>
    <w:rsid w:val="00310628"/>
    <w:rsid w:val="003106BE"/>
    <w:rsid w:val="003106C3"/>
    <w:rsid w:val="0031098C"/>
    <w:rsid w:val="0031128E"/>
    <w:rsid w:val="003112A9"/>
    <w:rsid w:val="0031160C"/>
    <w:rsid w:val="00311901"/>
    <w:rsid w:val="003119AD"/>
    <w:rsid w:val="00311EFE"/>
    <w:rsid w:val="003122F4"/>
    <w:rsid w:val="00312593"/>
    <w:rsid w:val="003126ED"/>
    <w:rsid w:val="00312E6D"/>
    <w:rsid w:val="00312F2F"/>
    <w:rsid w:val="00312F89"/>
    <w:rsid w:val="00312F99"/>
    <w:rsid w:val="00313AD6"/>
    <w:rsid w:val="00313F8B"/>
    <w:rsid w:val="00314078"/>
    <w:rsid w:val="00314765"/>
    <w:rsid w:val="00314834"/>
    <w:rsid w:val="00314901"/>
    <w:rsid w:val="00314A30"/>
    <w:rsid w:val="00314A7F"/>
    <w:rsid w:val="00314CD2"/>
    <w:rsid w:val="00314D19"/>
    <w:rsid w:val="00314EA0"/>
    <w:rsid w:val="0031515E"/>
    <w:rsid w:val="0031575A"/>
    <w:rsid w:val="003157B0"/>
    <w:rsid w:val="00315D83"/>
    <w:rsid w:val="00316517"/>
    <w:rsid w:val="00316E88"/>
    <w:rsid w:val="003170EA"/>
    <w:rsid w:val="00317250"/>
    <w:rsid w:val="003172A7"/>
    <w:rsid w:val="00317B43"/>
    <w:rsid w:val="00317EC9"/>
    <w:rsid w:val="003200CE"/>
    <w:rsid w:val="0032049A"/>
    <w:rsid w:val="00320B1A"/>
    <w:rsid w:val="00321576"/>
    <w:rsid w:val="0032186D"/>
    <w:rsid w:val="00321F79"/>
    <w:rsid w:val="0032228C"/>
    <w:rsid w:val="00322497"/>
    <w:rsid w:val="003229C1"/>
    <w:rsid w:val="00322E45"/>
    <w:rsid w:val="00323190"/>
    <w:rsid w:val="00323253"/>
    <w:rsid w:val="0032363A"/>
    <w:rsid w:val="0032412C"/>
    <w:rsid w:val="00324254"/>
    <w:rsid w:val="003247D2"/>
    <w:rsid w:val="00325011"/>
    <w:rsid w:val="0032515D"/>
    <w:rsid w:val="003252C8"/>
    <w:rsid w:val="0032541B"/>
    <w:rsid w:val="00325747"/>
    <w:rsid w:val="0032576C"/>
    <w:rsid w:val="00325794"/>
    <w:rsid w:val="00325B5A"/>
    <w:rsid w:val="0032607A"/>
    <w:rsid w:val="00326114"/>
    <w:rsid w:val="003262D1"/>
    <w:rsid w:val="00326665"/>
    <w:rsid w:val="00326A29"/>
    <w:rsid w:val="00326A35"/>
    <w:rsid w:val="0032719C"/>
    <w:rsid w:val="003273FC"/>
    <w:rsid w:val="003274CA"/>
    <w:rsid w:val="003275B4"/>
    <w:rsid w:val="00327BA0"/>
    <w:rsid w:val="00327BFD"/>
    <w:rsid w:val="00327C30"/>
    <w:rsid w:val="00327E29"/>
    <w:rsid w:val="00330266"/>
    <w:rsid w:val="00330B2C"/>
    <w:rsid w:val="00330CFA"/>
    <w:rsid w:val="00331015"/>
    <w:rsid w:val="00331547"/>
    <w:rsid w:val="0033169F"/>
    <w:rsid w:val="00331715"/>
    <w:rsid w:val="00331880"/>
    <w:rsid w:val="00331D6B"/>
    <w:rsid w:val="00331DB6"/>
    <w:rsid w:val="0033267B"/>
    <w:rsid w:val="00332983"/>
    <w:rsid w:val="003332ED"/>
    <w:rsid w:val="00333392"/>
    <w:rsid w:val="00333430"/>
    <w:rsid w:val="00333B27"/>
    <w:rsid w:val="003340F9"/>
    <w:rsid w:val="00334139"/>
    <w:rsid w:val="00334281"/>
    <w:rsid w:val="00334A3E"/>
    <w:rsid w:val="003351CA"/>
    <w:rsid w:val="003361F4"/>
    <w:rsid w:val="00336412"/>
    <w:rsid w:val="003367AD"/>
    <w:rsid w:val="00336DBE"/>
    <w:rsid w:val="00336E99"/>
    <w:rsid w:val="00337307"/>
    <w:rsid w:val="00337624"/>
    <w:rsid w:val="00337BAC"/>
    <w:rsid w:val="00337D8A"/>
    <w:rsid w:val="00337E15"/>
    <w:rsid w:val="003400A0"/>
    <w:rsid w:val="003401E5"/>
    <w:rsid w:val="00340280"/>
    <w:rsid w:val="003402C6"/>
    <w:rsid w:val="003403D3"/>
    <w:rsid w:val="00340E9B"/>
    <w:rsid w:val="00341959"/>
    <w:rsid w:val="003419A1"/>
    <w:rsid w:val="00341D78"/>
    <w:rsid w:val="00341D8B"/>
    <w:rsid w:val="00342457"/>
    <w:rsid w:val="00342A5D"/>
    <w:rsid w:val="00343226"/>
    <w:rsid w:val="00343559"/>
    <w:rsid w:val="00343AFE"/>
    <w:rsid w:val="00343BE6"/>
    <w:rsid w:val="00343DA6"/>
    <w:rsid w:val="00344699"/>
    <w:rsid w:val="0034491C"/>
    <w:rsid w:val="00344974"/>
    <w:rsid w:val="00344A5B"/>
    <w:rsid w:val="00344A84"/>
    <w:rsid w:val="003450CB"/>
    <w:rsid w:val="00345593"/>
    <w:rsid w:val="00345667"/>
    <w:rsid w:val="00345FA9"/>
    <w:rsid w:val="00346183"/>
    <w:rsid w:val="00346643"/>
    <w:rsid w:val="00346C95"/>
    <w:rsid w:val="00346D2B"/>
    <w:rsid w:val="00346EC9"/>
    <w:rsid w:val="00347065"/>
    <w:rsid w:val="00347342"/>
    <w:rsid w:val="0034738C"/>
    <w:rsid w:val="0034762C"/>
    <w:rsid w:val="0034786B"/>
    <w:rsid w:val="00347AA1"/>
    <w:rsid w:val="00347B81"/>
    <w:rsid w:val="003500CC"/>
    <w:rsid w:val="00350C9A"/>
    <w:rsid w:val="00350FEF"/>
    <w:rsid w:val="00351147"/>
    <w:rsid w:val="003513C8"/>
    <w:rsid w:val="003513F0"/>
    <w:rsid w:val="00351625"/>
    <w:rsid w:val="00351AD1"/>
    <w:rsid w:val="00352033"/>
    <w:rsid w:val="003523C4"/>
    <w:rsid w:val="003523EE"/>
    <w:rsid w:val="00352706"/>
    <w:rsid w:val="003528C1"/>
    <w:rsid w:val="00352947"/>
    <w:rsid w:val="0035295D"/>
    <w:rsid w:val="00352C78"/>
    <w:rsid w:val="00352C95"/>
    <w:rsid w:val="00352F52"/>
    <w:rsid w:val="003533E0"/>
    <w:rsid w:val="0035379E"/>
    <w:rsid w:val="00353892"/>
    <w:rsid w:val="00354530"/>
    <w:rsid w:val="003547A1"/>
    <w:rsid w:val="00354A4D"/>
    <w:rsid w:val="00354E59"/>
    <w:rsid w:val="0035504C"/>
    <w:rsid w:val="00355188"/>
    <w:rsid w:val="0035558F"/>
    <w:rsid w:val="003555B8"/>
    <w:rsid w:val="00355769"/>
    <w:rsid w:val="003558F5"/>
    <w:rsid w:val="003559ED"/>
    <w:rsid w:val="00355A42"/>
    <w:rsid w:val="00355DCB"/>
    <w:rsid w:val="00355E3E"/>
    <w:rsid w:val="00356185"/>
    <w:rsid w:val="0035643B"/>
    <w:rsid w:val="0035694C"/>
    <w:rsid w:val="0035729D"/>
    <w:rsid w:val="00357AB2"/>
    <w:rsid w:val="00357E90"/>
    <w:rsid w:val="00360380"/>
    <w:rsid w:val="00360575"/>
    <w:rsid w:val="00360DF5"/>
    <w:rsid w:val="00360DF6"/>
    <w:rsid w:val="00360E13"/>
    <w:rsid w:val="00360EC9"/>
    <w:rsid w:val="00360F78"/>
    <w:rsid w:val="0036247E"/>
    <w:rsid w:val="0036281C"/>
    <w:rsid w:val="003628E9"/>
    <w:rsid w:val="00363587"/>
    <w:rsid w:val="00363772"/>
    <w:rsid w:val="003639E7"/>
    <w:rsid w:val="00363A3F"/>
    <w:rsid w:val="00363B69"/>
    <w:rsid w:val="00364165"/>
    <w:rsid w:val="0036457E"/>
    <w:rsid w:val="003645B4"/>
    <w:rsid w:val="00364AC9"/>
    <w:rsid w:val="00364D74"/>
    <w:rsid w:val="00364E00"/>
    <w:rsid w:val="0036502F"/>
    <w:rsid w:val="0036510E"/>
    <w:rsid w:val="00365A69"/>
    <w:rsid w:val="00365EB8"/>
    <w:rsid w:val="003661B2"/>
    <w:rsid w:val="0036634F"/>
    <w:rsid w:val="00366ADD"/>
    <w:rsid w:val="003675E5"/>
    <w:rsid w:val="00367BDC"/>
    <w:rsid w:val="00367C3F"/>
    <w:rsid w:val="003701D9"/>
    <w:rsid w:val="00370353"/>
    <w:rsid w:val="00371913"/>
    <w:rsid w:val="00371A6F"/>
    <w:rsid w:val="00372131"/>
    <w:rsid w:val="0037226F"/>
    <w:rsid w:val="0037278A"/>
    <w:rsid w:val="00373626"/>
    <w:rsid w:val="003738D7"/>
    <w:rsid w:val="00373A0C"/>
    <w:rsid w:val="00373B73"/>
    <w:rsid w:val="00373E57"/>
    <w:rsid w:val="003742C8"/>
    <w:rsid w:val="003742D2"/>
    <w:rsid w:val="0037443F"/>
    <w:rsid w:val="00374597"/>
    <w:rsid w:val="0037480D"/>
    <w:rsid w:val="00374B7D"/>
    <w:rsid w:val="003757D0"/>
    <w:rsid w:val="00375C1E"/>
    <w:rsid w:val="00375D8A"/>
    <w:rsid w:val="00376490"/>
    <w:rsid w:val="00376D82"/>
    <w:rsid w:val="00377287"/>
    <w:rsid w:val="003779E4"/>
    <w:rsid w:val="0038019B"/>
    <w:rsid w:val="003803A8"/>
    <w:rsid w:val="00380743"/>
    <w:rsid w:val="00380AEC"/>
    <w:rsid w:val="00380B64"/>
    <w:rsid w:val="00380BA8"/>
    <w:rsid w:val="00380BCE"/>
    <w:rsid w:val="00380DD1"/>
    <w:rsid w:val="00380DFA"/>
    <w:rsid w:val="00381275"/>
    <w:rsid w:val="0038158C"/>
    <w:rsid w:val="003818C1"/>
    <w:rsid w:val="003819B8"/>
    <w:rsid w:val="00381C61"/>
    <w:rsid w:val="00382761"/>
    <w:rsid w:val="00382C39"/>
    <w:rsid w:val="0038307F"/>
    <w:rsid w:val="003836AB"/>
    <w:rsid w:val="00383FF6"/>
    <w:rsid w:val="00384754"/>
    <w:rsid w:val="00384E4C"/>
    <w:rsid w:val="00385540"/>
    <w:rsid w:val="00385A83"/>
    <w:rsid w:val="00385C32"/>
    <w:rsid w:val="00385C70"/>
    <w:rsid w:val="00386545"/>
    <w:rsid w:val="0038683C"/>
    <w:rsid w:val="003868E9"/>
    <w:rsid w:val="00386A9E"/>
    <w:rsid w:val="00386CF0"/>
    <w:rsid w:val="00386D63"/>
    <w:rsid w:val="00386F16"/>
    <w:rsid w:val="00387929"/>
    <w:rsid w:val="00387B9A"/>
    <w:rsid w:val="00387E8F"/>
    <w:rsid w:val="00387FC1"/>
    <w:rsid w:val="00390688"/>
    <w:rsid w:val="0039082B"/>
    <w:rsid w:val="00390C07"/>
    <w:rsid w:val="00390C51"/>
    <w:rsid w:val="0039101A"/>
    <w:rsid w:val="003912A6"/>
    <w:rsid w:val="003916B5"/>
    <w:rsid w:val="00391BD3"/>
    <w:rsid w:val="00391E81"/>
    <w:rsid w:val="00392130"/>
    <w:rsid w:val="003921AA"/>
    <w:rsid w:val="003922B2"/>
    <w:rsid w:val="003929D0"/>
    <w:rsid w:val="003930A2"/>
    <w:rsid w:val="00393445"/>
    <w:rsid w:val="00393448"/>
    <w:rsid w:val="00393769"/>
    <w:rsid w:val="00393ACC"/>
    <w:rsid w:val="003940B2"/>
    <w:rsid w:val="00394AF9"/>
    <w:rsid w:val="00394CD0"/>
    <w:rsid w:val="00394E1F"/>
    <w:rsid w:val="003954CA"/>
    <w:rsid w:val="00395583"/>
    <w:rsid w:val="0039596D"/>
    <w:rsid w:val="00395D74"/>
    <w:rsid w:val="0039660E"/>
    <w:rsid w:val="003966C4"/>
    <w:rsid w:val="003974DF"/>
    <w:rsid w:val="0039767F"/>
    <w:rsid w:val="00397832"/>
    <w:rsid w:val="003978EF"/>
    <w:rsid w:val="00397AFA"/>
    <w:rsid w:val="00397C9F"/>
    <w:rsid w:val="00397CEF"/>
    <w:rsid w:val="003A06CF"/>
    <w:rsid w:val="003A1D79"/>
    <w:rsid w:val="003A205A"/>
    <w:rsid w:val="003A2270"/>
    <w:rsid w:val="003A2506"/>
    <w:rsid w:val="003A31E7"/>
    <w:rsid w:val="003A38D3"/>
    <w:rsid w:val="003A3ACF"/>
    <w:rsid w:val="003A3ECC"/>
    <w:rsid w:val="003A431E"/>
    <w:rsid w:val="003A5852"/>
    <w:rsid w:val="003A5933"/>
    <w:rsid w:val="003A5976"/>
    <w:rsid w:val="003A5CF9"/>
    <w:rsid w:val="003A5F00"/>
    <w:rsid w:val="003A5F02"/>
    <w:rsid w:val="003A61C6"/>
    <w:rsid w:val="003A6220"/>
    <w:rsid w:val="003A6675"/>
    <w:rsid w:val="003A6D28"/>
    <w:rsid w:val="003A6E09"/>
    <w:rsid w:val="003A7106"/>
    <w:rsid w:val="003A723B"/>
    <w:rsid w:val="003A724A"/>
    <w:rsid w:val="003A7667"/>
    <w:rsid w:val="003A7E29"/>
    <w:rsid w:val="003A7FA8"/>
    <w:rsid w:val="003B0471"/>
    <w:rsid w:val="003B0A7F"/>
    <w:rsid w:val="003B0BA5"/>
    <w:rsid w:val="003B0C66"/>
    <w:rsid w:val="003B16AC"/>
    <w:rsid w:val="003B1B1C"/>
    <w:rsid w:val="003B1C45"/>
    <w:rsid w:val="003B3A0B"/>
    <w:rsid w:val="003B3A93"/>
    <w:rsid w:val="003B3CD9"/>
    <w:rsid w:val="003B3D29"/>
    <w:rsid w:val="003B41BC"/>
    <w:rsid w:val="003B451A"/>
    <w:rsid w:val="003B4572"/>
    <w:rsid w:val="003B5118"/>
    <w:rsid w:val="003B56B1"/>
    <w:rsid w:val="003B5823"/>
    <w:rsid w:val="003B59D9"/>
    <w:rsid w:val="003B5B67"/>
    <w:rsid w:val="003B5E55"/>
    <w:rsid w:val="003B6528"/>
    <w:rsid w:val="003B6C36"/>
    <w:rsid w:val="003B6D3A"/>
    <w:rsid w:val="003B71FF"/>
    <w:rsid w:val="003B749C"/>
    <w:rsid w:val="003B771B"/>
    <w:rsid w:val="003B78A3"/>
    <w:rsid w:val="003B7910"/>
    <w:rsid w:val="003B79C4"/>
    <w:rsid w:val="003B7AD5"/>
    <w:rsid w:val="003B7B5D"/>
    <w:rsid w:val="003B7E4E"/>
    <w:rsid w:val="003B7E9C"/>
    <w:rsid w:val="003B7EF5"/>
    <w:rsid w:val="003C0674"/>
    <w:rsid w:val="003C0A19"/>
    <w:rsid w:val="003C18BC"/>
    <w:rsid w:val="003C1A9C"/>
    <w:rsid w:val="003C2014"/>
    <w:rsid w:val="003C251B"/>
    <w:rsid w:val="003C271B"/>
    <w:rsid w:val="003C2819"/>
    <w:rsid w:val="003C2AB0"/>
    <w:rsid w:val="003C2AB7"/>
    <w:rsid w:val="003C2ABC"/>
    <w:rsid w:val="003C2B1D"/>
    <w:rsid w:val="003C3010"/>
    <w:rsid w:val="003C31DC"/>
    <w:rsid w:val="003C3634"/>
    <w:rsid w:val="003C388E"/>
    <w:rsid w:val="003C3FB0"/>
    <w:rsid w:val="003C4A42"/>
    <w:rsid w:val="003C4B22"/>
    <w:rsid w:val="003C4B37"/>
    <w:rsid w:val="003C4FA9"/>
    <w:rsid w:val="003C5129"/>
    <w:rsid w:val="003C5B0F"/>
    <w:rsid w:val="003C5ED4"/>
    <w:rsid w:val="003C5F03"/>
    <w:rsid w:val="003C676B"/>
    <w:rsid w:val="003C6815"/>
    <w:rsid w:val="003C7470"/>
    <w:rsid w:val="003C7713"/>
    <w:rsid w:val="003C77DC"/>
    <w:rsid w:val="003C7A03"/>
    <w:rsid w:val="003C7BD0"/>
    <w:rsid w:val="003D01D4"/>
    <w:rsid w:val="003D0C5A"/>
    <w:rsid w:val="003D113D"/>
    <w:rsid w:val="003D13EF"/>
    <w:rsid w:val="003D1521"/>
    <w:rsid w:val="003D1615"/>
    <w:rsid w:val="003D19F6"/>
    <w:rsid w:val="003D1FF6"/>
    <w:rsid w:val="003D2041"/>
    <w:rsid w:val="003D20D8"/>
    <w:rsid w:val="003D28C3"/>
    <w:rsid w:val="003D28EB"/>
    <w:rsid w:val="003D2B70"/>
    <w:rsid w:val="003D319A"/>
    <w:rsid w:val="003D3BC2"/>
    <w:rsid w:val="003D3BED"/>
    <w:rsid w:val="003D3CFD"/>
    <w:rsid w:val="003D439F"/>
    <w:rsid w:val="003D4D71"/>
    <w:rsid w:val="003D5097"/>
    <w:rsid w:val="003D5135"/>
    <w:rsid w:val="003D59E3"/>
    <w:rsid w:val="003D6089"/>
    <w:rsid w:val="003D6240"/>
    <w:rsid w:val="003D64EB"/>
    <w:rsid w:val="003D679D"/>
    <w:rsid w:val="003D722F"/>
    <w:rsid w:val="003E0411"/>
    <w:rsid w:val="003E0724"/>
    <w:rsid w:val="003E0EC0"/>
    <w:rsid w:val="003E111D"/>
    <w:rsid w:val="003E151B"/>
    <w:rsid w:val="003E1551"/>
    <w:rsid w:val="003E196A"/>
    <w:rsid w:val="003E1A21"/>
    <w:rsid w:val="003E1C45"/>
    <w:rsid w:val="003E22FD"/>
    <w:rsid w:val="003E2556"/>
    <w:rsid w:val="003E292D"/>
    <w:rsid w:val="003E2978"/>
    <w:rsid w:val="003E2B6D"/>
    <w:rsid w:val="003E2FD5"/>
    <w:rsid w:val="003E315B"/>
    <w:rsid w:val="003E36E8"/>
    <w:rsid w:val="003E3BF9"/>
    <w:rsid w:val="003E3DAA"/>
    <w:rsid w:val="003E40BD"/>
    <w:rsid w:val="003E4E4E"/>
    <w:rsid w:val="003E515A"/>
    <w:rsid w:val="003E52CE"/>
    <w:rsid w:val="003E5767"/>
    <w:rsid w:val="003E5E7F"/>
    <w:rsid w:val="003E6B54"/>
    <w:rsid w:val="003E6B6D"/>
    <w:rsid w:val="003E6CA1"/>
    <w:rsid w:val="003E6D73"/>
    <w:rsid w:val="003E6F59"/>
    <w:rsid w:val="003E7128"/>
    <w:rsid w:val="003E73F9"/>
    <w:rsid w:val="003E741E"/>
    <w:rsid w:val="003E7ACD"/>
    <w:rsid w:val="003F007D"/>
    <w:rsid w:val="003F0E4E"/>
    <w:rsid w:val="003F153A"/>
    <w:rsid w:val="003F17F3"/>
    <w:rsid w:val="003F1A19"/>
    <w:rsid w:val="003F1A4B"/>
    <w:rsid w:val="003F245F"/>
    <w:rsid w:val="003F2A5C"/>
    <w:rsid w:val="003F2AEF"/>
    <w:rsid w:val="003F2E36"/>
    <w:rsid w:val="003F342F"/>
    <w:rsid w:val="003F38EE"/>
    <w:rsid w:val="003F3AD6"/>
    <w:rsid w:val="003F3C02"/>
    <w:rsid w:val="003F3CFA"/>
    <w:rsid w:val="003F40DC"/>
    <w:rsid w:val="003F439C"/>
    <w:rsid w:val="003F4456"/>
    <w:rsid w:val="003F4531"/>
    <w:rsid w:val="003F46B5"/>
    <w:rsid w:val="003F4751"/>
    <w:rsid w:val="003F49E4"/>
    <w:rsid w:val="003F4A56"/>
    <w:rsid w:val="003F4FFA"/>
    <w:rsid w:val="003F501E"/>
    <w:rsid w:val="003F5758"/>
    <w:rsid w:val="003F5ABB"/>
    <w:rsid w:val="003F5DBC"/>
    <w:rsid w:val="003F6338"/>
    <w:rsid w:val="003F638A"/>
    <w:rsid w:val="003F6984"/>
    <w:rsid w:val="003F6E8F"/>
    <w:rsid w:val="003F7E40"/>
    <w:rsid w:val="003F7F73"/>
    <w:rsid w:val="004001F4"/>
    <w:rsid w:val="004003F0"/>
    <w:rsid w:val="004003F5"/>
    <w:rsid w:val="004007C2"/>
    <w:rsid w:val="004009FC"/>
    <w:rsid w:val="004010B0"/>
    <w:rsid w:val="004011E9"/>
    <w:rsid w:val="00401582"/>
    <w:rsid w:val="00401967"/>
    <w:rsid w:val="00401A7F"/>
    <w:rsid w:val="00401AD9"/>
    <w:rsid w:val="00402AC2"/>
    <w:rsid w:val="00402BBF"/>
    <w:rsid w:val="00402C20"/>
    <w:rsid w:val="0040313F"/>
    <w:rsid w:val="00403189"/>
    <w:rsid w:val="004033D9"/>
    <w:rsid w:val="00403941"/>
    <w:rsid w:val="0040438E"/>
    <w:rsid w:val="00404F46"/>
    <w:rsid w:val="00404FE6"/>
    <w:rsid w:val="00405361"/>
    <w:rsid w:val="00405A32"/>
    <w:rsid w:val="00405BC8"/>
    <w:rsid w:val="00405C29"/>
    <w:rsid w:val="00406039"/>
    <w:rsid w:val="00406CB5"/>
    <w:rsid w:val="00406F64"/>
    <w:rsid w:val="004079F1"/>
    <w:rsid w:val="00407FF1"/>
    <w:rsid w:val="0041027E"/>
    <w:rsid w:val="0041047E"/>
    <w:rsid w:val="00411994"/>
    <w:rsid w:val="004119AE"/>
    <w:rsid w:val="0041202A"/>
    <w:rsid w:val="00412250"/>
    <w:rsid w:val="00412267"/>
    <w:rsid w:val="00412C81"/>
    <w:rsid w:val="00412C9A"/>
    <w:rsid w:val="0041306A"/>
    <w:rsid w:val="004138E9"/>
    <w:rsid w:val="00414227"/>
    <w:rsid w:val="0041434C"/>
    <w:rsid w:val="00414AF6"/>
    <w:rsid w:val="004154FF"/>
    <w:rsid w:val="00415BBD"/>
    <w:rsid w:val="0041616C"/>
    <w:rsid w:val="00416215"/>
    <w:rsid w:val="00416470"/>
    <w:rsid w:val="004165C2"/>
    <w:rsid w:val="004173B2"/>
    <w:rsid w:val="00417460"/>
    <w:rsid w:val="0041778C"/>
    <w:rsid w:val="00417796"/>
    <w:rsid w:val="0041782F"/>
    <w:rsid w:val="00417AC6"/>
    <w:rsid w:val="00417C85"/>
    <w:rsid w:val="00417CBD"/>
    <w:rsid w:val="00417E6F"/>
    <w:rsid w:val="00420066"/>
    <w:rsid w:val="00420489"/>
    <w:rsid w:val="004205DD"/>
    <w:rsid w:val="00420712"/>
    <w:rsid w:val="00420BC3"/>
    <w:rsid w:val="00421205"/>
    <w:rsid w:val="0042136A"/>
    <w:rsid w:val="00421621"/>
    <w:rsid w:val="004216C5"/>
    <w:rsid w:val="00421995"/>
    <w:rsid w:val="00421A18"/>
    <w:rsid w:val="00421EFD"/>
    <w:rsid w:val="00422594"/>
    <w:rsid w:val="00422E2F"/>
    <w:rsid w:val="0042303C"/>
    <w:rsid w:val="00423044"/>
    <w:rsid w:val="004231F7"/>
    <w:rsid w:val="00423B60"/>
    <w:rsid w:val="00424452"/>
    <w:rsid w:val="00424962"/>
    <w:rsid w:val="00424F5C"/>
    <w:rsid w:val="00424F60"/>
    <w:rsid w:val="004250E6"/>
    <w:rsid w:val="0042533D"/>
    <w:rsid w:val="004254C0"/>
    <w:rsid w:val="0042566E"/>
    <w:rsid w:val="004256D9"/>
    <w:rsid w:val="004265E4"/>
    <w:rsid w:val="0042669C"/>
    <w:rsid w:val="0042699F"/>
    <w:rsid w:val="00426C06"/>
    <w:rsid w:val="00426E7B"/>
    <w:rsid w:val="0042741E"/>
    <w:rsid w:val="00427868"/>
    <w:rsid w:val="00427A2E"/>
    <w:rsid w:val="00427BBB"/>
    <w:rsid w:val="004304A9"/>
    <w:rsid w:val="00430576"/>
    <w:rsid w:val="004308D1"/>
    <w:rsid w:val="004314FA"/>
    <w:rsid w:val="0043231F"/>
    <w:rsid w:val="0043250E"/>
    <w:rsid w:val="00432899"/>
    <w:rsid w:val="00432971"/>
    <w:rsid w:val="00432994"/>
    <w:rsid w:val="00432C81"/>
    <w:rsid w:val="0043310F"/>
    <w:rsid w:val="004332D8"/>
    <w:rsid w:val="00433664"/>
    <w:rsid w:val="0043456A"/>
    <w:rsid w:val="00434630"/>
    <w:rsid w:val="004347ED"/>
    <w:rsid w:val="00434849"/>
    <w:rsid w:val="004348D0"/>
    <w:rsid w:val="00434AC3"/>
    <w:rsid w:val="00435092"/>
    <w:rsid w:val="00435241"/>
    <w:rsid w:val="00435290"/>
    <w:rsid w:val="00435797"/>
    <w:rsid w:val="00435BC8"/>
    <w:rsid w:val="00435DCC"/>
    <w:rsid w:val="004363AB"/>
    <w:rsid w:val="00436503"/>
    <w:rsid w:val="00436FF4"/>
    <w:rsid w:val="00437367"/>
    <w:rsid w:val="00437845"/>
    <w:rsid w:val="004378F2"/>
    <w:rsid w:val="004378FB"/>
    <w:rsid w:val="00437943"/>
    <w:rsid w:val="00437CB9"/>
    <w:rsid w:val="00437D43"/>
    <w:rsid w:val="00437E1C"/>
    <w:rsid w:val="00437E20"/>
    <w:rsid w:val="004403AC"/>
    <w:rsid w:val="0044079F"/>
    <w:rsid w:val="00440B67"/>
    <w:rsid w:val="00440D99"/>
    <w:rsid w:val="00440F62"/>
    <w:rsid w:val="004410E8"/>
    <w:rsid w:val="00441200"/>
    <w:rsid w:val="0044121F"/>
    <w:rsid w:val="004417F8"/>
    <w:rsid w:val="00441AA4"/>
    <w:rsid w:val="00441ECB"/>
    <w:rsid w:val="004424FF"/>
    <w:rsid w:val="00442850"/>
    <w:rsid w:val="00442B7F"/>
    <w:rsid w:val="00443644"/>
    <w:rsid w:val="004437BB"/>
    <w:rsid w:val="00443965"/>
    <w:rsid w:val="00443D9D"/>
    <w:rsid w:val="00444095"/>
    <w:rsid w:val="00444265"/>
    <w:rsid w:val="0044444F"/>
    <w:rsid w:val="00444461"/>
    <w:rsid w:val="00444C04"/>
    <w:rsid w:val="00444E38"/>
    <w:rsid w:val="004451A2"/>
    <w:rsid w:val="00445A0B"/>
    <w:rsid w:val="00445FE0"/>
    <w:rsid w:val="00446198"/>
    <w:rsid w:val="00446711"/>
    <w:rsid w:val="00446A1B"/>
    <w:rsid w:val="00447155"/>
    <w:rsid w:val="00447215"/>
    <w:rsid w:val="00447498"/>
    <w:rsid w:val="004479A4"/>
    <w:rsid w:val="004479D4"/>
    <w:rsid w:val="00447D51"/>
    <w:rsid w:val="00447F13"/>
    <w:rsid w:val="0045016D"/>
    <w:rsid w:val="004502F3"/>
    <w:rsid w:val="00450A47"/>
    <w:rsid w:val="00450CA7"/>
    <w:rsid w:val="00450EE8"/>
    <w:rsid w:val="00450F53"/>
    <w:rsid w:val="0045185C"/>
    <w:rsid w:val="0045203F"/>
    <w:rsid w:val="0045223B"/>
    <w:rsid w:val="00452FF9"/>
    <w:rsid w:val="00453361"/>
    <w:rsid w:val="004538B2"/>
    <w:rsid w:val="00453BE6"/>
    <w:rsid w:val="00453C42"/>
    <w:rsid w:val="00453E0A"/>
    <w:rsid w:val="00453E6F"/>
    <w:rsid w:val="00454695"/>
    <w:rsid w:val="00454F14"/>
    <w:rsid w:val="004557E0"/>
    <w:rsid w:val="00455AC0"/>
    <w:rsid w:val="00455C5C"/>
    <w:rsid w:val="004562A5"/>
    <w:rsid w:val="0045640E"/>
    <w:rsid w:val="0045690B"/>
    <w:rsid w:val="00456CCA"/>
    <w:rsid w:val="00456DA7"/>
    <w:rsid w:val="004571E7"/>
    <w:rsid w:val="0045788B"/>
    <w:rsid w:val="00457A3B"/>
    <w:rsid w:val="004601D7"/>
    <w:rsid w:val="004604C8"/>
    <w:rsid w:val="00460EF8"/>
    <w:rsid w:val="004611CE"/>
    <w:rsid w:val="0046125C"/>
    <w:rsid w:val="0046192F"/>
    <w:rsid w:val="00461999"/>
    <w:rsid w:val="00462414"/>
    <w:rsid w:val="0046247F"/>
    <w:rsid w:val="00462771"/>
    <w:rsid w:val="00462D95"/>
    <w:rsid w:val="00462EB1"/>
    <w:rsid w:val="00462F00"/>
    <w:rsid w:val="00462F66"/>
    <w:rsid w:val="00463106"/>
    <w:rsid w:val="0046323D"/>
    <w:rsid w:val="004636CE"/>
    <w:rsid w:val="00463AB9"/>
    <w:rsid w:val="00463C21"/>
    <w:rsid w:val="00463C4C"/>
    <w:rsid w:val="00464741"/>
    <w:rsid w:val="00464949"/>
    <w:rsid w:val="00464F2F"/>
    <w:rsid w:val="004657D0"/>
    <w:rsid w:val="00465B98"/>
    <w:rsid w:val="0046609A"/>
    <w:rsid w:val="00466895"/>
    <w:rsid w:val="004668A9"/>
    <w:rsid w:val="00466977"/>
    <w:rsid w:val="004669A8"/>
    <w:rsid w:val="00466D04"/>
    <w:rsid w:val="00466F31"/>
    <w:rsid w:val="00467534"/>
    <w:rsid w:val="00467B7E"/>
    <w:rsid w:val="00467D54"/>
    <w:rsid w:val="00470046"/>
    <w:rsid w:val="00470053"/>
    <w:rsid w:val="0047017B"/>
    <w:rsid w:val="00470193"/>
    <w:rsid w:val="0047063A"/>
    <w:rsid w:val="004706B2"/>
    <w:rsid w:val="00470909"/>
    <w:rsid w:val="004709B0"/>
    <w:rsid w:val="00470B7D"/>
    <w:rsid w:val="00470E85"/>
    <w:rsid w:val="00470ED8"/>
    <w:rsid w:val="004710B3"/>
    <w:rsid w:val="004711FE"/>
    <w:rsid w:val="0047125D"/>
    <w:rsid w:val="00471354"/>
    <w:rsid w:val="00471484"/>
    <w:rsid w:val="004714E0"/>
    <w:rsid w:val="0047196C"/>
    <w:rsid w:val="004719E3"/>
    <w:rsid w:val="00471E58"/>
    <w:rsid w:val="00472759"/>
    <w:rsid w:val="0047286F"/>
    <w:rsid w:val="00472A16"/>
    <w:rsid w:val="00473B36"/>
    <w:rsid w:val="00473B4A"/>
    <w:rsid w:val="0047462B"/>
    <w:rsid w:val="00474765"/>
    <w:rsid w:val="00474B8A"/>
    <w:rsid w:val="00474D94"/>
    <w:rsid w:val="0047509E"/>
    <w:rsid w:val="0047544B"/>
    <w:rsid w:val="00475E55"/>
    <w:rsid w:val="004762C7"/>
    <w:rsid w:val="004768CB"/>
    <w:rsid w:val="00476BE0"/>
    <w:rsid w:val="0047742E"/>
    <w:rsid w:val="00477592"/>
    <w:rsid w:val="004806EB"/>
    <w:rsid w:val="00480A29"/>
    <w:rsid w:val="00480CDD"/>
    <w:rsid w:val="00480D60"/>
    <w:rsid w:val="00480E41"/>
    <w:rsid w:val="00480FFA"/>
    <w:rsid w:val="00481138"/>
    <w:rsid w:val="004812FD"/>
    <w:rsid w:val="004813E2"/>
    <w:rsid w:val="00481581"/>
    <w:rsid w:val="004821E1"/>
    <w:rsid w:val="004825DA"/>
    <w:rsid w:val="004826DF"/>
    <w:rsid w:val="004837BD"/>
    <w:rsid w:val="0048391F"/>
    <w:rsid w:val="00484838"/>
    <w:rsid w:val="00484DFB"/>
    <w:rsid w:val="004859F8"/>
    <w:rsid w:val="00485C1D"/>
    <w:rsid w:val="00485F16"/>
    <w:rsid w:val="0048613F"/>
    <w:rsid w:val="004861D5"/>
    <w:rsid w:val="004862FF"/>
    <w:rsid w:val="0048630E"/>
    <w:rsid w:val="00486431"/>
    <w:rsid w:val="0048659E"/>
    <w:rsid w:val="004866AE"/>
    <w:rsid w:val="00486B18"/>
    <w:rsid w:val="00486F1C"/>
    <w:rsid w:val="00486FF7"/>
    <w:rsid w:val="00487237"/>
    <w:rsid w:val="004879E6"/>
    <w:rsid w:val="00487A9D"/>
    <w:rsid w:val="00490384"/>
    <w:rsid w:val="0049047A"/>
    <w:rsid w:val="004904D3"/>
    <w:rsid w:val="00490A3E"/>
    <w:rsid w:val="00490C97"/>
    <w:rsid w:val="00490E0C"/>
    <w:rsid w:val="004910CC"/>
    <w:rsid w:val="004921AB"/>
    <w:rsid w:val="0049241D"/>
    <w:rsid w:val="0049269C"/>
    <w:rsid w:val="004929C8"/>
    <w:rsid w:val="00492B05"/>
    <w:rsid w:val="00492E0E"/>
    <w:rsid w:val="00492F3F"/>
    <w:rsid w:val="004930F4"/>
    <w:rsid w:val="00493305"/>
    <w:rsid w:val="00493B99"/>
    <w:rsid w:val="00493C0B"/>
    <w:rsid w:val="00493E67"/>
    <w:rsid w:val="0049419D"/>
    <w:rsid w:val="0049438E"/>
    <w:rsid w:val="0049462E"/>
    <w:rsid w:val="00494B65"/>
    <w:rsid w:val="00494F1F"/>
    <w:rsid w:val="004955CD"/>
    <w:rsid w:val="004956BF"/>
    <w:rsid w:val="004956F6"/>
    <w:rsid w:val="00495B50"/>
    <w:rsid w:val="00495F35"/>
    <w:rsid w:val="00496186"/>
    <w:rsid w:val="00496351"/>
    <w:rsid w:val="0049691C"/>
    <w:rsid w:val="00496EEA"/>
    <w:rsid w:val="004976AC"/>
    <w:rsid w:val="004A05B5"/>
    <w:rsid w:val="004A11F8"/>
    <w:rsid w:val="004A1418"/>
    <w:rsid w:val="004A16C6"/>
    <w:rsid w:val="004A173E"/>
    <w:rsid w:val="004A1B09"/>
    <w:rsid w:val="004A1E90"/>
    <w:rsid w:val="004A1EF4"/>
    <w:rsid w:val="004A1FF8"/>
    <w:rsid w:val="004A2094"/>
    <w:rsid w:val="004A22B4"/>
    <w:rsid w:val="004A258B"/>
    <w:rsid w:val="004A259D"/>
    <w:rsid w:val="004A2F2E"/>
    <w:rsid w:val="004A3419"/>
    <w:rsid w:val="004A3E01"/>
    <w:rsid w:val="004A4A1D"/>
    <w:rsid w:val="004A52A6"/>
    <w:rsid w:val="004A54E5"/>
    <w:rsid w:val="004A5667"/>
    <w:rsid w:val="004A5942"/>
    <w:rsid w:val="004A5D6F"/>
    <w:rsid w:val="004A617D"/>
    <w:rsid w:val="004A66B4"/>
    <w:rsid w:val="004A681A"/>
    <w:rsid w:val="004A7339"/>
    <w:rsid w:val="004A79F0"/>
    <w:rsid w:val="004A7BEC"/>
    <w:rsid w:val="004A7E5C"/>
    <w:rsid w:val="004B01BA"/>
    <w:rsid w:val="004B0B09"/>
    <w:rsid w:val="004B0C2F"/>
    <w:rsid w:val="004B0E0B"/>
    <w:rsid w:val="004B0EDD"/>
    <w:rsid w:val="004B13E6"/>
    <w:rsid w:val="004B1BE5"/>
    <w:rsid w:val="004B24F2"/>
    <w:rsid w:val="004B2543"/>
    <w:rsid w:val="004B2554"/>
    <w:rsid w:val="004B2AD6"/>
    <w:rsid w:val="004B2B47"/>
    <w:rsid w:val="004B2DCD"/>
    <w:rsid w:val="004B316C"/>
    <w:rsid w:val="004B31A2"/>
    <w:rsid w:val="004B327C"/>
    <w:rsid w:val="004B3822"/>
    <w:rsid w:val="004B3950"/>
    <w:rsid w:val="004B3A73"/>
    <w:rsid w:val="004B3ACD"/>
    <w:rsid w:val="004B3C26"/>
    <w:rsid w:val="004B3D32"/>
    <w:rsid w:val="004B3DE0"/>
    <w:rsid w:val="004B3E96"/>
    <w:rsid w:val="004B44D1"/>
    <w:rsid w:val="004B4D83"/>
    <w:rsid w:val="004B520F"/>
    <w:rsid w:val="004B541C"/>
    <w:rsid w:val="004B56F9"/>
    <w:rsid w:val="004B5A02"/>
    <w:rsid w:val="004B5E6C"/>
    <w:rsid w:val="004B5EFB"/>
    <w:rsid w:val="004B6F69"/>
    <w:rsid w:val="004B70BC"/>
    <w:rsid w:val="004B71DC"/>
    <w:rsid w:val="004B788A"/>
    <w:rsid w:val="004C0442"/>
    <w:rsid w:val="004C051E"/>
    <w:rsid w:val="004C0C8C"/>
    <w:rsid w:val="004C1192"/>
    <w:rsid w:val="004C124F"/>
    <w:rsid w:val="004C19F4"/>
    <w:rsid w:val="004C1FA2"/>
    <w:rsid w:val="004C20D2"/>
    <w:rsid w:val="004C23A9"/>
    <w:rsid w:val="004C2672"/>
    <w:rsid w:val="004C2CDF"/>
    <w:rsid w:val="004C2F94"/>
    <w:rsid w:val="004C3017"/>
    <w:rsid w:val="004C31CA"/>
    <w:rsid w:val="004C32D2"/>
    <w:rsid w:val="004C36C5"/>
    <w:rsid w:val="004C4074"/>
    <w:rsid w:val="004C4636"/>
    <w:rsid w:val="004C47A1"/>
    <w:rsid w:val="004C4B62"/>
    <w:rsid w:val="004C4B6F"/>
    <w:rsid w:val="004C4D01"/>
    <w:rsid w:val="004C518B"/>
    <w:rsid w:val="004C526B"/>
    <w:rsid w:val="004C54C9"/>
    <w:rsid w:val="004C5730"/>
    <w:rsid w:val="004C5B63"/>
    <w:rsid w:val="004C5D37"/>
    <w:rsid w:val="004C5E9F"/>
    <w:rsid w:val="004C5ED3"/>
    <w:rsid w:val="004C609C"/>
    <w:rsid w:val="004C642E"/>
    <w:rsid w:val="004C6757"/>
    <w:rsid w:val="004C67C3"/>
    <w:rsid w:val="004C69F4"/>
    <w:rsid w:val="004C6A80"/>
    <w:rsid w:val="004C7450"/>
    <w:rsid w:val="004C78D5"/>
    <w:rsid w:val="004C7FA1"/>
    <w:rsid w:val="004D0030"/>
    <w:rsid w:val="004D0630"/>
    <w:rsid w:val="004D0917"/>
    <w:rsid w:val="004D0E7F"/>
    <w:rsid w:val="004D0F07"/>
    <w:rsid w:val="004D12C7"/>
    <w:rsid w:val="004D182F"/>
    <w:rsid w:val="004D19C3"/>
    <w:rsid w:val="004D2149"/>
    <w:rsid w:val="004D2643"/>
    <w:rsid w:val="004D2CA2"/>
    <w:rsid w:val="004D30AE"/>
    <w:rsid w:val="004D3DAE"/>
    <w:rsid w:val="004D3DDC"/>
    <w:rsid w:val="004D4178"/>
    <w:rsid w:val="004D43BA"/>
    <w:rsid w:val="004D4704"/>
    <w:rsid w:val="004D4B43"/>
    <w:rsid w:val="004D4BC8"/>
    <w:rsid w:val="004D4C35"/>
    <w:rsid w:val="004D4CDB"/>
    <w:rsid w:val="004D4E2E"/>
    <w:rsid w:val="004D4FEE"/>
    <w:rsid w:val="004D5108"/>
    <w:rsid w:val="004D5A17"/>
    <w:rsid w:val="004D5BEC"/>
    <w:rsid w:val="004D5EBF"/>
    <w:rsid w:val="004D5ED4"/>
    <w:rsid w:val="004D6025"/>
    <w:rsid w:val="004D60D4"/>
    <w:rsid w:val="004D6324"/>
    <w:rsid w:val="004D6460"/>
    <w:rsid w:val="004D64FB"/>
    <w:rsid w:val="004D6582"/>
    <w:rsid w:val="004D6AC8"/>
    <w:rsid w:val="004D6DF5"/>
    <w:rsid w:val="004D6EAE"/>
    <w:rsid w:val="004D6F17"/>
    <w:rsid w:val="004D6F68"/>
    <w:rsid w:val="004D7133"/>
    <w:rsid w:val="004D741F"/>
    <w:rsid w:val="004D7BB7"/>
    <w:rsid w:val="004E0438"/>
    <w:rsid w:val="004E07AE"/>
    <w:rsid w:val="004E0B94"/>
    <w:rsid w:val="004E0C9D"/>
    <w:rsid w:val="004E0DAA"/>
    <w:rsid w:val="004E0FCD"/>
    <w:rsid w:val="004E10CD"/>
    <w:rsid w:val="004E158D"/>
    <w:rsid w:val="004E17C8"/>
    <w:rsid w:val="004E1D1E"/>
    <w:rsid w:val="004E1DE1"/>
    <w:rsid w:val="004E1FA6"/>
    <w:rsid w:val="004E2649"/>
    <w:rsid w:val="004E274B"/>
    <w:rsid w:val="004E308B"/>
    <w:rsid w:val="004E35CE"/>
    <w:rsid w:val="004E3657"/>
    <w:rsid w:val="004E3B05"/>
    <w:rsid w:val="004E4868"/>
    <w:rsid w:val="004E4B8D"/>
    <w:rsid w:val="004E4F80"/>
    <w:rsid w:val="004E50AF"/>
    <w:rsid w:val="004E5351"/>
    <w:rsid w:val="004E54FC"/>
    <w:rsid w:val="004E557C"/>
    <w:rsid w:val="004E5870"/>
    <w:rsid w:val="004E58ED"/>
    <w:rsid w:val="004E6D2E"/>
    <w:rsid w:val="004E6EA6"/>
    <w:rsid w:val="004E73D4"/>
    <w:rsid w:val="004E77CB"/>
    <w:rsid w:val="004E7996"/>
    <w:rsid w:val="004E79B7"/>
    <w:rsid w:val="004E7E00"/>
    <w:rsid w:val="004E7E35"/>
    <w:rsid w:val="004F0290"/>
    <w:rsid w:val="004F0655"/>
    <w:rsid w:val="004F09A2"/>
    <w:rsid w:val="004F0EB9"/>
    <w:rsid w:val="004F11A9"/>
    <w:rsid w:val="004F149C"/>
    <w:rsid w:val="004F23A6"/>
    <w:rsid w:val="004F24C5"/>
    <w:rsid w:val="004F2C05"/>
    <w:rsid w:val="004F2CE6"/>
    <w:rsid w:val="004F2EE9"/>
    <w:rsid w:val="004F3269"/>
    <w:rsid w:val="004F334B"/>
    <w:rsid w:val="004F34D2"/>
    <w:rsid w:val="004F361D"/>
    <w:rsid w:val="004F36CD"/>
    <w:rsid w:val="004F3B0B"/>
    <w:rsid w:val="004F3C45"/>
    <w:rsid w:val="004F3CB3"/>
    <w:rsid w:val="004F4362"/>
    <w:rsid w:val="004F450A"/>
    <w:rsid w:val="004F46D8"/>
    <w:rsid w:val="004F4ACF"/>
    <w:rsid w:val="004F4FF8"/>
    <w:rsid w:val="004F5006"/>
    <w:rsid w:val="004F5715"/>
    <w:rsid w:val="004F573D"/>
    <w:rsid w:val="004F57C9"/>
    <w:rsid w:val="004F57E1"/>
    <w:rsid w:val="004F5B2D"/>
    <w:rsid w:val="004F604D"/>
    <w:rsid w:val="004F6231"/>
    <w:rsid w:val="004F6294"/>
    <w:rsid w:val="004F6A8C"/>
    <w:rsid w:val="004F6B5E"/>
    <w:rsid w:val="004F6BA3"/>
    <w:rsid w:val="004F6D31"/>
    <w:rsid w:val="004F7E61"/>
    <w:rsid w:val="00500955"/>
    <w:rsid w:val="005009D6"/>
    <w:rsid w:val="005011E6"/>
    <w:rsid w:val="0050125E"/>
    <w:rsid w:val="00501399"/>
    <w:rsid w:val="005013C5"/>
    <w:rsid w:val="00501D9A"/>
    <w:rsid w:val="00501F6C"/>
    <w:rsid w:val="00501FFE"/>
    <w:rsid w:val="00502121"/>
    <w:rsid w:val="00502BA5"/>
    <w:rsid w:val="00502D57"/>
    <w:rsid w:val="00502E53"/>
    <w:rsid w:val="00503976"/>
    <w:rsid w:val="00503A50"/>
    <w:rsid w:val="0050429C"/>
    <w:rsid w:val="00504A1A"/>
    <w:rsid w:val="00504D4C"/>
    <w:rsid w:val="00504DD5"/>
    <w:rsid w:val="00504FE2"/>
    <w:rsid w:val="0050548F"/>
    <w:rsid w:val="005055D2"/>
    <w:rsid w:val="005059A1"/>
    <w:rsid w:val="00505A3B"/>
    <w:rsid w:val="00505D03"/>
    <w:rsid w:val="0050633D"/>
    <w:rsid w:val="0050646A"/>
    <w:rsid w:val="00506D0A"/>
    <w:rsid w:val="005070C7"/>
    <w:rsid w:val="005070E5"/>
    <w:rsid w:val="005075CC"/>
    <w:rsid w:val="005078D2"/>
    <w:rsid w:val="00507BC4"/>
    <w:rsid w:val="00507C6D"/>
    <w:rsid w:val="005101F6"/>
    <w:rsid w:val="00510234"/>
    <w:rsid w:val="00510255"/>
    <w:rsid w:val="00510325"/>
    <w:rsid w:val="0051067D"/>
    <w:rsid w:val="0051072B"/>
    <w:rsid w:val="00510CEA"/>
    <w:rsid w:val="005111D2"/>
    <w:rsid w:val="005114B6"/>
    <w:rsid w:val="00511514"/>
    <w:rsid w:val="00512302"/>
    <w:rsid w:val="00512714"/>
    <w:rsid w:val="005128E4"/>
    <w:rsid w:val="00512E8A"/>
    <w:rsid w:val="005133DB"/>
    <w:rsid w:val="005139D5"/>
    <w:rsid w:val="00513CB7"/>
    <w:rsid w:val="00513E30"/>
    <w:rsid w:val="00514330"/>
    <w:rsid w:val="0051487D"/>
    <w:rsid w:val="0051550E"/>
    <w:rsid w:val="005155B3"/>
    <w:rsid w:val="00515A14"/>
    <w:rsid w:val="00515D4B"/>
    <w:rsid w:val="00516871"/>
    <w:rsid w:val="005168B6"/>
    <w:rsid w:val="005169D0"/>
    <w:rsid w:val="00516C63"/>
    <w:rsid w:val="00516DCE"/>
    <w:rsid w:val="005173EC"/>
    <w:rsid w:val="00517C2A"/>
    <w:rsid w:val="00520869"/>
    <w:rsid w:val="005209C6"/>
    <w:rsid w:val="00520AD9"/>
    <w:rsid w:val="005216DC"/>
    <w:rsid w:val="0052196E"/>
    <w:rsid w:val="00521C52"/>
    <w:rsid w:val="00521C8E"/>
    <w:rsid w:val="0052214E"/>
    <w:rsid w:val="0052239B"/>
    <w:rsid w:val="0052356C"/>
    <w:rsid w:val="005239B1"/>
    <w:rsid w:val="00523F43"/>
    <w:rsid w:val="0052405D"/>
    <w:rsid w:val="0052425B"/>
    <w:rsid w:val="005245C0"/>
    <w:rsid w:val="0052469C"/>
    <w:rsid w:val="005248B6"/>
    <w:rsid w:val="0052491D"/>
    <w:rsid w:val="00524C2F"/>
    <w:rsid w:val="005254C4"/>
    <w:rsid w:val="00525560"/>
    <w:rsid w:val="0052567E"/>
    <w:rsid w:val="005256B5"/>
    <w:rsid w:val="005258C0"/>
    <w:rsid w:val="00525944"/>
    <w:rsid w:val="005259A3"/>
    <w:rsid w:val="00526081"/>
    <w:rsid w:val="005260C9"/>
    <w:rsid w:val="00526252"/>
    <w:rsid w:val="005264C2"/>
    <w:rsid w:val="005264FF"/>
    <w:rsid w:val="00526539"/>
    <w:rsid w:val="00527688"/>
    <w:rsid w:val="005276EF"/>
    <w:rsid w:val="005278B0"/>
    <w:rsid w:val="00527D40"/>
    <w:rsid w:val="00527E99"/>
    <w:rsid w:val="00530AA4"/>
    <w:rsid w:val="00530E8B"/>
    <w:rsid w:val="0053104D"/>
    <w:rsid w:val="005319E8"/>
    <w:rsid w:val="00531BC2"/>
    <w:rsid w:val="00531E33"/>
    <w:rsid w:val="00531F93"/>
    <w:rsid w:val="0053252B"/>
    <w:rsid w:val="00532590"/>
    <w:rsid w:val="00532692"/>
    <w:rsid w:val="00532A86"/>
    <w:rsid w:val="005334E2"/>
    <w:rsid w:val="0053366D"/>
    <w:rsid w:val="00533DEB"/>
    <w:rsid w:val="00533EE5"/>
    <w:rsid w:val="00534133"/>
    <w:rsid w:val="005342C2"/>
    <w:rsid w:val="00534382"/>
    <w:rsid w:val="00534464"/>
    <w:rsid w:val="00534D67"/>
    <w:rsid w:val="00534EBB"/>
    <w:rsid w:val="005351A5"/>
    <w:rsid w:val="005351E8"/>
    <w:rsid w:val="00536311"/>
    <w:rsid w:val="00536644"/>
    <w:rsid w:val="00536AF3"/>
    <w:rsid w:val="00536BCA"/>
    <w:rsid w:val="005370C6"/>
    <w:rsid w:val="0053714C"/>
    <w:rsid w:val="0053747D"/>
    <w:rsid w:val="00537BA6"/>
    <w:rsid w:val="00537E23"/>
    <w:rsid w:val="00537E73"/>
    <w:rsid w:val="0054019C"/>
    <w:rsid w:val="00540577"/>
    <w:rsid w:val="005406CB"/>
    <w:rsid w:val="00540C2B"/>
    <w:rsid w:val="00540EA2"/>
    <w:rsid w:val="00540FCA"/>
    <w:rsid w:val="005410E2"/>
    <w:rsid w:val="00541F66"/>
    <w:rsid w:val="0054210D"/>
    <w:rsid w:val="0054242C"/>
    <w:rsid w:val="00542583"/>
    <w:rsid w:val="00542774"/>
    <w:rsid w:val="00542A42"/>
    <w:rsid w:val="00542A9F"/>
    <w:rsid w:val="00542F95"/>
    <w:rsid w:val="005432FB"/>
    <w:rsid w:val="00543E41"/>
    <w:rsid w:val="00543EE5"/>
    <w:rsid w:val="00543FF6"/>
    <w:rsid w:val="00544007"/>
    <w:rsid w:val="00544144"/>
    <w:rsid w:val="005442A6"/>
    <w:rsid w:val="0054436F"/>
    <w:rsid w:val="005444EF"/>
    <w:rsid w:val="00544570"/>
    <w:rsid w:val="00544C49"/>
    <w:rsid w:val="00544F8F"/>
    <w:rsid w:val="00544FDE"/>
    <w:rsid w:val="005451EB"/>
    <w:rsid w:val="0054527F"/>
    <w:rsid w:val="0054568D"/>
    <w:rsid w:val="0054575C"/>
    <w:rsid w:val="00545A37"/>
    <w:rsid w:val="00545E4B"/>
    <w:rsid w:val="0054604C"/>
    <w:rsid w:val="005461B1"/>
    <w:rsid w:val="00546878"/>
    <w:rsid w:val="00546C8C"/>
    <w:rsid w:val="0054729D"/>
    <w:rsid w:val="00547331"/>
    <w:rsid w:val="0054741E"/>
    <w:rsid w:val="005477CF"/>
    <w:rsid w:val="00547AF5"/>
    <w:rsid w:val="00547E2E"/>
    <w:rsid w:val="00550442"/>
    <w:rsid w:val="0055094D"/>
    <w:rsid w:val="00550CD0"/>
    <w:rsid w:val="00550D2B"/>
    <w:rsid w:val="00550FA9"/>
    <w:rsid w:val="00551166"/>
    <w:rsid w:val="005516A1"/>
    <w:rsid w:val="005520EC"/>
    <w:rsid w:val="00552344"/>
    <w:rsid w:val="005524FB"/>
    <w:rsid w:val="0055250F"/>
    <w:rsid w:val="00552650"/>
    <w:rsid w:val="00552AD9"/>
    <w:rsid w:val="00552E56"/>
    <w:rsid w:val="00553A91"/>
    <w:rsid w:val="00553FAF"/>
    <w:rsid w:val="00554227"/>
    <w:rsid w:val="00554546"/>
    <w:rsid w:val="0055459E"/>
    <w:rsid w:val="00555008"/>
    <w:rsid w:val="005554D2"/>
    <w:rsid w:val="00555842"/>
    <w:rsid w:val="00556013"/>
    <w:rsid w:val="00556021"/>
    <w:rsid w:val="0055682B"/>
    <w:rsid w:val="00556E03"/>
    <w:rsid w:val="00557549"/>
    <w:rsid w:val="00557B7A"/>
    <w:rsid w:val="00557E63"/>
    <w:rsid w:val="00557F06"/>
    <w:rsid w:val="00560142"/>
    <w:rsid w:val="00560418"/>
    <w:rsid w:val="00560543"/>
    <w:rsid w:val="00560687"/>
    <w:rsid w:val="005606BF"/>
    <w:rsid w:val="00560D7D"/>
    <w:rsid w:val="005613EE"/>
    <w:rsid w:val="00561971"/>
    <w:rsid w:val="00561A87"/>
    <w:rsid w:val="00561C20"/>
    <w:rsid w:val="00561C80"/>
    <w:rsid w:val="00561FA0"/>
    <w:rsid w:val="005626E9"/>
    <w:rsid w:val="00562A10"/>
    <w:rsid w:val="00563158"/>
    <w:rsid w:val="005633D7"/>
    <w:rsid w:val="0056357E"/>
    <w:rsid w:val="00563767"/>
    <w:rsid w:val="00563885"/>
    <w:rsid w:val="00563887"/>
    <w:rsid w:val="00563977"/>
    <w:rsid w:val="00563988"/>
    <w:rsid w:val="00563F9A"/>
    <w:rsid w:val="005644B8"/>
    <w:rsid w:val="0056451B"/>
    <w:rsid w:val="0056495C"/>
    <w:rsid w:val="00565026"/>
    <w:rsid w:val="005652C1"/>
    <w:rsid w:val="00565499"/>
    <w:rsid w:val="00565A04"/>
    <w:rsid w:val="00565AAB"/>
    <w:rsid w:val="00566229"/>
    <w:rsid w:val="00566347"/>
    <w:rsid w:val="0056639B"/>
    <w:rsid w:val="0056655A"/>
    <w:rsid w:val="00566BC9"/>
    <w:rsid w:val="005670D3"/>
    <w:rsid w:val="005674CB"/>
    <w:rsid w:val="0057005F"/>
    <w:rsid w:val="00570277"/>
    <w:rsid w:val="00570607"/>
    <w:rsid w:val="00570B7D"/>
    <w:rsid w:val="00570BD9"/>
    <w:rsid w:val="00570C70"/>
    <w:rsid w:val="00570D4C"/>
    <w:rsid w:val="00570F43"/>
    <w:rsid w:val="00571064"/>
    <w:rsid w:val="005715B7"/>
    <w:rsid w:val="00571632"/>
    <w:rsid w:val="00571DE0"/>
    <w:rsid w:val="00571DFD"/>
    <w:rsid w:val="00572197"/>
    <w:rsid w:val="00572A86"/>
    <w:rsid w:val="00572B2D"/>
    <w:rsid w:val="00572B98"/>
    <w:rsid w:val="00572CB6"/>
    <w:rsid w:val="00572DDE"/>
    <w:rsid w:val="00572DFF"/>
    <w:rsid w:val="00572FF7"/>
    <w:rsid w:val="00573798"/>
    <w:rsid w:val="00573C8E"/>
    <w:rsid w:val="00573FC5"/>
    <w:rsid w:val="0057402A"/>
    <w:rsid w:val="0057447D"/>
    <w:rsid w:val="00574980"/>
    <w:rsid w:val="00574E64"/>
    <w:rsid w:val="00575540"/>
    <w:rsid w:val="00575729"/>
    <w:rsid w:val="00575C14"/>
    <w:rsid w:val="00575E2A"/>
    <w:rsid w:val="0057643D"/>
    <w:rsid w:val="00576860"/>
    <w:rsid w:val="00576F11"/>
    <w:rsid w:val="005771D0"/>
    <w:rsid w:val="005772F8"/>
    <w:rsid w:val="00577419"/>
    <w:rsid w:val="00577581"/>
    <w:rsid w:val="00577C88"/>
    <w:rsid w:val="00580031"/>
    <w:rsid w:val="00580333"/>
    <w:rsid w:val="00580CCA"/>
    <w:rsid w:val="0058101F"/>
    <w:rsid w:val="0058192E"/>
    <w:rsid w:val="0058194B"/>
    <w:rsid w:val="00582339"/>
    <w:rsid w:val="0058234C"/>
    <w:rsid w:val="005825C4"/>
    <w:rsid w:val="0058282C"/>
    <w:rsid w:val="00582F5F"/>
    <w:rsid w:val="00582FE3"/>
    <w:rsid w:val="0058377A"/>
    <w:rsid w:val="005837C1"/>
    <w:rsid w:val="00583A35"/>
    <w:rsid w:val="00583C78"/>
    <w:rsid w:val="0058400D"/>
    <w:rsid w:val="005842E2"/>
    <w:rsid w:val="00584D24"/>
    <w:rsid w:val="00584DD1"/>
    <w:rsid w:val="005855B2"/>
    <w:rsid w:val="005859F5"/>
    <w:rsid w:val="00585A8F"/>
    <w:rsid w:val="00585E67"/>
    <w:rsid w:val="00585FFF"/>
    <w:rsid w:val="0058619A"/>
    <w:rsid w:val="005862CB"/>
    <w:rsid w:val="00586E5C"/>
    <w:rsid w:val="00586F50"/>
    <w:rsid w:val="00587276"/>
    <w:rsid w:val="005874C8"/>
    <w:rsid w:val="00587C05"/>
    <w:rsid w:val="00587CE3"/>
    <w:rsid w:val="00587D44"/>
    <w:rsid w:val="00587D9C"/>
    <w:rsid w:val="00590771"/>
    <w:rsid w:val="00590A5F"/>
    <w:rsid w:val="00590B1D"/>
    <w:rsid w:val="00590CCD"/>
    <w:rsid w:val="00590CE7"/>
    <w:rsid w:val="00591708"/>
    <w:rsid w:val="005918C2"/>
    <w:rsid w:val="005918C9"/>
    <w:rsid w:val="0059191A"/>
    <w:rsid w:val="00591D12"/>
    <w:rsid w:val="005920B3"/>
    <w:rsid w:val="005921DF"/>
    <w:rsid w:val="005921FF"/>
    <w:rsid w:val="005923CF"/>
    <w:rsid w:val="00592672"/>
    <w:rsid w:val="00592F5D"/>
    <w:rsid w:val="005934E4"/>
    <w:rsid w:val="00593896"/>
    <w:rsid w:val="0059391D"/>
    <w:rsid w:val="00593B9A"/>
    <w:rsid w:val="00593BBC"/>
    <w:rsid w:val="00594297"/>
    <w:rsid w:val="00594569"/>
    <w:rsid w:val="00594FFE"/>
    <w:rsid w:val="00595E71"/>
    <w:rsid w:val="0059609F"/>
    <w:rsid w:val="0059641C"/>
    <w:rsid w:val="00596572"/>
    <w:rsid w:val="0059662E"/>
    <w:rsid w:val="005967AB"/>
    <w:rsid w:val="00596865"/>
    <w:rsid w:val="00596C71"/>
    <w:rsid w:val="00596CAC"/>
    <w:rsid w:val="00596F17"/>
    <w:rsid w:val="00597060"/>
    <w:rsid w:val="005970A8"/>
    <w:rsid w:val="005970DF"/>
    <w:rsid w:val="0059717F"/>
    <w:rsid w:val="005972FA"/>
    <w:rsid w:val="005976A9"/>
    <w:rsid w:val="00597ADB"/>
    <w:rsid w:val="00597D4B"/>
    <w:rsid w:val="005A014C"/>
    <w:rsid w:val="005A066F"/>
    <w:rsid w:val="005A0918"/>
    <w:rsid w:val="005A201E"/>
    <w:rsid w:val="005A22F6"/>
    <w:rsid w:val="005A2996"/>
    <w:rsid w:val="005A32FB"/>
    <w:rsid w:val="005A3348"/>
    <w:rsid w:val="005A3463"/>
    <w:rsid w:val="005A36F2"/>
    <w:rsid w:val="005A3E3F"/>
    <w:rsid w:val="005A3EFF"/>
    <w:rsid w:val="005A45FD"/>
    <w:rsid w:val="005A46A2"/>
    <w:rsid w:val="005A4738"/>
    <w:rsid w:val="005A4777"/>
    <w:rsid w:val="005A5320"/>
    <w:rsid w:val="005A545C"/>
    <w:rsid w:val="005A55AD"/>
    <w:rsid w:val="005A55FC"/>
    <w:rsid w:val="005A5F2C"/>
    <w:rsid w:val="005A672C"/>
    <w:rsid w:val="005A676A"/>
    <w:rsid w:val="005A68B0"/>
    <w:rsid w:val="005A6D0E"/>
    <w:rsid w:val="005A700A"/>
    <w:rsid w:val="005A71C6"/>
    <w:rsid w:val="005A763E"/>
    <w:rsid w:val="005A76C2"/>
    <w:rsid w:val="005A77C4"/>
    <w:rsid w:val="005A78EF"/>
    <w:rsid w:val="005A7A04"/>
    <w:rsid w:val="005A7B93"/>
    <w:rsid w:val="005A7C88"/>
    <w:rsid w:val="005A7D4B"/>
    <w:rsid w:val="005A7ED9"/>
    <w:rsid w:val="005A7FEA"/>
    <w:rsid w:val="005B018D"/>
    <w:rsid w:val="005B048D"/>
    <w:rsid w:val="005B1236"/>
    <w:rsid w:val="005B142C"/>
    <w:rsid w:val="005B155B"/>
    <w:rsid w:val="005B1670"/>
    <w:rsid w:val="005B1818"/>
    <w:rsid w:val="005B1C5F"/>
    <w:rsid w:val="005B22CA"/>
    <w:rsid w:val="005B2461"/>
    <w:rsid w:val="005B27A1"/>
    <w:rsid w:val="005B307E"/>
    <w:rsid w:val="005B3342"/>
    <w:rsid w:val="005B3401"/>
    <w:rsid w:val="005B34DC"/>
    <w:rsid w:val="005B3859"/>
    <w:rsid w:val="005B3A06"/>
    <w:rsid w:val="005B3CF4"/>
    <w:rsid w:val="005B4313"/>
    <w:rsid w:val="005B4396"/>
    <w:rsid w:val="005B4442"/>
    <w:rsid w:val="005B458F"/>
    <w:rsid w:val="005B45C8"/>
    <w:rsid w:val="005B4B89"/>
    <w:rsid w:val="005B52B0"/>
    <w:rsid w:val="005B542E"/>
    <w:rsid w:val="005B586F"/>
    <w:rsid w:val="005B5E1E"/>
    <w:rsid w:val="005B66E4"/>
    <w:rsid w:val="005B6806"/>
    <w:rsid w:val="005B6890"/>
    <w:rsid w:val="005B6AC4"/>
    <w:rsid w:val="005B6B30"/>
    <w:rsid w:val="005B6F30"/>
    <w:rsid w:val="005B7153"/>
    <w:rsid w:val="005B7864"/>
    <w:rsid w:val="005C0276"/>
    <w:rsid w:val="005C0452"/>
    <w:rsid w:val="005C04F7"/>
    <w:rsid w:val="005C0612"/>
    <w:rsid w:val="005C0771"/>
    <w:rsid w:val="005C1183"/>
    <w:rsid w:val="005C13B1"/>
    <w:rsid w:val="005C1795"/>
    <w:rsid w:val="005C181C"/>
    <w:rsid w:val="005C18B2"/>
    <w:rsid w:val="005C1A4C"/>
    <w:rsid w:val="005C1E7A"/>
    <w:rsid w:val="005C29D7"/>
    <w:rsid w:val="005C319B"/>
    <w:rsid w:val="005C31A7"/>
    <w:rsid w:val="005C40B1"/>
    <w:rsid w:val="005C4225"/>
    <w:rsid w:val="005C439E"/>
    <w:rsid w:val="005C4651"/>
    <w:rsid w:val="005C4767"/>
    <w:rsid w:val="005C49B8"/>
    <w:rsid w:val="005C4BC0"/>
    <w:rsid w:val="005C5638"/>
    <w:rsid w:val="005C5643"/>
    <w:rsid w:val="005C57A0"/>
    <w:rsid w:val="005C5DF3"/>
    <w:rsid w:val="005C612F"/>
    <w:rsid w:val="005C6514"/>
    <w:rsid w:val="005C65DD"/>
    <w:rsid w:val="005C69F1"/>
    <w:rsid w:val="005C6BDB"/>
    <w:rsid w:val="005C6F03"/>
    <w:rsid w:val="005C71A5"/>
    <w:rsid w:val="005C7488"/>
    <w:rsid w:val="005C74BF"/>
    <w:rsid w:val="005C7537"/>
    <w:rsid w:val="005D04E1"/>
    <w:rsid w:val="005D0710"/>
    <w:rsid w:val="005D132E"/>
    <w:rsid w:val="005D1807"/>
    <w:rsid w:val="005D1B94"/>
    <w:rsid w:val="005D1F4F"/>
    <w:rsid w:val="005D2501"/>
    <w:rsid w:val="005D2642"/>
    <w:rsid w:val="005D2B1A"/>
    <w:rsid w:val="005D3109"/>
    <w:rsid w:val="005D35DB"/>
    <w:rsid w:val="005D3637"/>
    <w:rsid w:val="005D3C3E"/>
    <w:rsid w:val="005D3CB6"/>
    <w:rsid w:val="005D42F5"/>
    <w:rsid w:val="005D4463"/>
    <w:rsid w:val="005D44F3"/>
    <w:rsid w:val="005D4AA9"/>
    <w:rsid w:val="005D4B0E"/>
    <w:rsid w:val="005D4BFB"/>
    <w:rsid w:val="005D52C5"/>
    <w:rsid w:val="005D5539"/>
    <w:rsid w:val="005D5BA1"/>
    <w:rsid w:val="005D5CC0"/>
    <w:rsid w:val="005D5CD2"/>
    <w:rsid w:val="005D5FCA"/>
    <w:rsid w:val="005D6024"/>
    <w:rsid w:val="005D64B9"/>
    <w:rsid w:val="005D6695"/>
    <w:rsid w:val="005D6E8A"/>
    <w:rsid w:val="005E00FD"/>
    <w:rsid w:val="005E081B"/>
    <w:rsid w:val="005E09DC"/>
    <w:rsid w:val="005E0A12"/>
    <w:rsid w:val="005E1599"/>
    <w:rsid w:val="005E17DF"/>
    <w:rsid w:val="005E18A5"/>
    <w:rsid w:val="005E1D97"/>
    <w:rsid w:val="005E1F03"/>
    <w:rsid w:val="005E21D4"/>
    <w:rsid w:val="005E2874"/>
    <w:rsid w:val="005E2A54"/>
    <w:rsid w:val="005E374C"/>
    <w:rsid w:val="005E3919"/>
    <w:rsid w:val="005E39C7"/>
    <w:rsid w:val="005E3C6C"/>
    <w:rsid w:val="005E4055"/>
    <w:rsid w:val="005E4081"/>
    <w:rsid w:val="005E421A"/>
    <w:rsid w:val="005E441F"/>
    <w:rsid w:val="005E4479"/>
    <w:rsid w:val="005E45A4"/>
    <w:rsid w:val="005E4C11"/>
    <w:rsid w:val="005E5437"/>
    <w:rsid w:val="005E5580"/>
    <w:rsid w:val="005E59D9"/>
    <w:rsid w:val="005E63E4"/>
    <w:rsid w:val="005E6507"/>
    <w:rsid w:val="005E65A7"/>
    <w:rsid w:val="005E66E5"/>
    <w:rsid w:val="005E691F"/>
    <w:rsid w:val="005E699D"/>
    <w:rsid w:val="005E6B57"/>
    <w:rsid w:val="005E6DD8"/>
    <w:rsid w:val="005E6E99"/>
    <w:rsid w:val="005E7C86"/>
    <w:rsid w:val="005F05EF"/>
    <w:rsid w:val="005F0DAD"/>
    <w:rsid w:val="005F0F33"/>
    <w:rsid w:val="005F106A"/>
    <w:rsid w:val="005F10FD"/>
    <w:rsid w:val="005F12AF"/>
    <w:rsid w:val="005F178D"/>
    <w:rsid w:val="005F1B09"/>
    <w:rsid w:val="005F1F3B"/>
    <w:rsid w:val="005F25C4"/>
    <w:rsid w:val="005F2751"/>
    <w:rsid w:val="005F2F23"/>
    <w:rsid w:val="005F349E"/>
    <w:rsid w:val="005F3892"/>
    <w:rsid w:val="005F3A3B"/>
    <w:rsid w:val="005F3BAA"/>
    <w:rsid w:val="005F3DC4"/>
    <w:rsid w:val="005F400F"/>
    <w:rsid w:val="005F41B6"/>
    <w:rsid w:val="005F4951"/>
    <w:rsid w:val="005F4CB7"/>
    <w:rsid w:val="005F539F"/>
    <w:rsid w:val="005F5622"/>
    <w:rsid w:val="005F63AB"/>
    <w:rsid w:val="005F6475"/>
    <w:rsid w:val="005F66E5"/>
    <w:rsid w:val="005F68F5"/>
    <w:rsid w:val="005F6AA6"/>
    <w:rsid w:val="005F6F1E"/>
    <w:rsid w:val="005F70BD"/>
    <w:rsid w:val="005F74FD"/>
    <w:rsid w:val="005F7876"/>
    <w:rsid w:val="005F7ADB"/>
    <w:rsid w:val="005F7EE4"/>
    <w:rsid w:val="005F7FD1"/>
    <w:rsid w:val="00600363"/>
    <w:rsid w:val="0060046B"/>
    <w:rsid w:val="00600DEB"/>
    <w:rsid w:val="00600ED5"/>
    <w:rsid w:val="0060104B"/>
    <w:rsid w:val="00601AC3"/>
    <w:rsid w:val="00601C31"/>
    <w:rsid w:val="00601D10"/>
    <w:rsid w:val="00602481"/>
    <w:rsid w:val="006024C1"/>
    <w:rsid w:val="006027F0"/>
    <w:rsid w:val="00602896"/>
    <w:rsid w:val="00602908"/>
    <w:rsid w:val="00602B78"/>
    <w:rsid w:val="00602BE9"/>
    <w:rsid w:val="006031D9"/>
    <w:rsid w:val="006032C8"/>
    <w:rsid w:val="00603A8C"/>
    <w:rsid w:val="00603CC3"/>
    <w:rsid w:val="00603E73"/>
    <w:rsid w:val="00603F29"/>
    <w:rsid w:val="0060419C"/>
    <w:rsid w:val="0060420C"/>
    <w:rsid w:val="00604481"/>
    <w:rsid w:val="006049D5"/>
    <w:rsid w:val="00604A58"/>
    <w:rsid w:val="00604E7B"/>
    <w:rsid w:val="006055B4"/>
    <w:rsid w:val="00605636"/>
    <w:rsid w:val="00605639"/>
    <w:rsid w:val="00605C21"/>
    <w:rsid w:val="00605DF3"/>
    <w:rsid w:val="00605F21"/>
    <w:rsid w:val="00606418"/>
    <w:rsid w:val="0060676C"/>
    <w:rsid w:val="00606B13"/>
    <w:rsid w:val="006070A1"/>
    <w:rsid w:val="0060778C"/>
    <w:rsid w:val="006078C6"/>
    <w:rsid w:val="006078DA"/>
    <w:rsid w:val="00607933"/>
    <w:rsid w:val="00610191"/>
    <w:rsid w:val="0061040B"/>
    <w:rsid w:val="006104A9"/>
    <w:rsid w:val="00610598"/>
    <w:rsid w:val="0061067B"/>
    <w:rsid w:val="00610754"/>
    <w:rsid w:val="00610C76"/>
    <w:rsid w:val="00610D16"/>
    <w:rsid w:val="00610ED9"/>
    <w:rsid w:val="00610F85"/>
    <w:rsid w:val="00611211"/>
    <w:rsid w:val="00611411"/>
    <w:rsid w:val="006118C9"/>
    <w:rsid w:val="00611F1F"/>
    <w:rsid w:val="00612699"/>
    <w:rsid w:val="00612A63"/>
    <w:rsid w:val="00612AA8"/>
    <w:rsid w:val="006133B9"/>
    <w:rsid w:val="006137AB"/>
    <w:rsid w:val="00613AA3"/>
    <w:rsid w:val="00613EF7"/>
    <w:rsid w:val="00614010"/>
    <w:rsid w:val="006147AC"/>
    <w:rsid w:val="00614C69"/>
    <w:rsid w:val="00614D39"/>
    <w:rsid w:val="00614F48"/>
    <w:rsid w:val="0061565D"/>
    <w:rsid w:val="00616517"/>
    <w:rsid w:val="006165A2"/>
    <w:rsid w:val="00616733"/>
    <w:rsid w:val="00616A06"/>
    <w:rsid w:val="00616C27"/>
    <w:rsid w:val="0061720A"/>
    <w:rsid w:val="00617467"/>
    <w:rsid w:val="00617C65"/>
    <w:rsid w:val="00617F15"/>
    <w:rsid w:val="0062090E"/>
    <w:rsid w:val="00620952"/>
    <w:rsid w:val="00620D96"/>
    <w:rsid w:val="0062119D"/>
    <w:rsid w:val="00621345"/>
    <w:rsid w:val="00621376"/>
    <w:rsid w:val="00621E20"/>
    <w:rsid w:val="00621F19"/>
    <w:rsid w:val="0062206A"/>
    <w:rsid w:val="00622121"/>
    <w:rsid w:val="006222AD"/>
    <w:rsid w:val="006222F0"/>
    <w:rsid w:val="00622D9E"/>
    <w:rsid w:val="00623415"/>
    <w:rsid w:val="0062361B"/>
    <w:rsid w:val="00623732"/>
    <w:rsid w:val="006244EF"/>
    <w:rsid w:val="00624B07"/>
    <w:rsid w:val="00624C18"/>
    <w:rsid w:val="00624F13"/>
    <w:rsid w:val="00625095"/>
    <w:rsid w:val="0062533A"/>
    <w:rsid w:val="006253B5"/>
    <w:rsid w:val="00625419"/>
    <w:rsid w:val="00625677"/>
    <w:rsid w:val="00625B29"/>
    <w:rsid w:val="0062667C"/>
    <w:rsid w:val="00626740"/>
    <w:rsid w:val="00626A1D"/>
    <w:rsid w:val="00626A68"/>
    <w:rsid w:val="00626B0C"/>
    <w:rsid w:val="00626F73"/>
    <w:rsid w:val="00626FEF"/>
    <w:rsid w:val="006271DB"/>
    <w:rsid w:val="00627295"/>
    <w:rsid w:val="00627303"/>
    <w:rsid w:val="0062761B"/>
    <w:rsid w:val="00627893"/>
    <w:rsid w:val="00627A84"/>
    <w:rsid w:val="00627C9F"/>
    <w:rsid w:val="00630099"/>
    <w:rsid w:val="00630243"/>
    <w:rsid w:val="006303C3"/>
    <w:rsid w:val="006303CD"/>
    <w:rsid w:val="00630421"/>
    <w:rsid w:val="006308B0"/>
    <w:rsid w:val="00630992"/>
    <w:rsid w:val="00630ACE"/>
    <w:rsid w:val="00630F0A"/>
    <w:rsid w:val="006311E9"/>
    <w:rsid w:val="0063121D"/>
    <w:rsid w:val="006312A6"/>
    <w:rsid w:val="00632039"/>
    <w:rsid w:val="00632354"/>
    <w:rsid w:val="0063282A"/>
    <w:rsid w:val="006328B3"/>
    <w:rsid w:val="00632ABB"/>
    <w:rsid w:val="00632BCD"/>
    <w:rsid w:val="00632CED"/>
    <w:rsid w:val="00633006"/>
    <w:rsid w:val="0063380B"/>
    <w:rsid w:val="0063384C"/>
    <w:rsid w:val="0063388A"/>
    <w:rsid w:val="006344AB"/>
    <w:rsid w:val="006347F1"/>
    <w:rsid w:val="006348A4"/>
    <w:rsid w:val="00634935"/>
    <w:rsid w:val="00634A77"/>
    <w:rsid w:val="00634F0C"/>
    <w:rsid w:val="00635014"/>
    <w:rsid w:val="006355C9"/>
    <w:rsid w:val="00636164"/>
    <w:rsid w:val="006367BE"/>
    <w:rsid w:val="006368A4"/>
    <w:rsid w:val="00637390"/>
    <w:rsid w:val="00637A7D"/>
    <w:rsid w:val="00637E9F"/>
    <w:rsid w:val="00640598"/>
    <w:rsid w:val="00640DA6"/>
    <w:rsid w:val="00641554"/>
    <w:rsid w:val="00641FFA"/>
    <w:rsid w:val="00642011"/>
    <w:rsid w:val="00642053"/>
    <w:rsid w:val="00642299"/>
    <w:rsid w:val="006427A2"/>
    <w:rsid w:val="00642810"/>
    <w:rsid w:val="00642EA6"/>
    <w:rsid w:val="00642F90"/>
    <w:rsid w:val="006432DF"/>
    <w:rsid w:val="00644100"/>
    <w:rsid w:val="00644301"/>
    <w:rsid w:val="006443A2"/>
    <w:rsid w:val="00644FB9"/>
    <w:rsid w:val="0064529F"/>
    <w:rsid w:val="00645394"/>
    <w:rsid w:val="0064594A"/>
    <w:rsid w:val="00645BE8"/>
    <w:rsid w:val="0064625E"/>
    <w:rsid w:val="00646318"/>
    <w:rsid w:val="006463F5"/>
    <w:rsid w:val="00646412"/>
    <w:rsid w:val="0064649C"/>
    <w:rsid w:val="00646AAA"/>
    <w:rsid w:val="00646DB9"/>
    <w:rsid w:val="0064726E"/>
    <w:rsid w:val="006475D3"/>
    <w:rsid w:val="00647CBF"/>
    <w:rsid w:val="00647D67"/>
    <w:rsid w:val="00647F10"/>
    <w:rsid w:val="006501D8"/>
    <w:rsid w:val="006504B1"/>
    <w:rsid w:val="00650B75"/>
    <w:rsid w:val="00650FD4"/>
    <w:rsid w:val="00651686"/>
    <w:rsid w:val="006517C3"/>
    <w:rsid w:val="006519DE"/>
    <w:rsid w:val="006519E9"/>
    <w:rsid w:val="00651A84"/>
    <w:rsid w:val="0065210D"/>
    <w:rsid w:val="00652129"/>
    <w:rsid w:val="00652333"/>
    <w:rsid w:val="006526D0"/>
    <w:rsid w:val="00652714"/>
    <w:rsid w:val="00652BEC"/>
    <w:rsid w:val="0065314D"/>
    <w:rsid w:val="0065324E"/>
    <w:rsid w:val="0065354E"/>
    <w:rsid w:val="00653813"/>
    <w:rsid w:val="00653B59"/>
    <w:rsid w:val="00653C47"/>
    <w:rsid w:val="00654330"/>
    <w:rsid w:val="00654AA0"/>
    <w:rsid w:val="00654CA8"/>
    <w:rsid w:val="00655381"/>
    <w:rsid w:val="006555CD"/>
    <w:rsid w:val="0065583B"/>
    <w:rsid w:val="006559B7"/>
    <w:rsid w:val="00655DC3"/>
    <w:rsid w:val="00655EA8"/>
    <w:rsid w:val="00655F48"/>
    <w:rsid w:val="006565CC"/>
    <w:rsid w:val="0065678D"/>
    <w:rsid w:val="00656A10"/>
    <w:rsid w:val="00657915"/>
    <w:rsid w:val="00657C15"/>
    <w:rsid w:val="00657C3F"/>
    <w:rsid w:val="00657E2F"/>
    <w:rsid w:val="0066006C"/>
    <w:rsid w:val="006602D9"/>
    <w:rsid w:val="00660616"/>
    <w:rsid w:val="00661526"/>
    <w:rsid w:val="00661A1B"/>
    <w:rsid w:val="00662116"/>
    <w:rsid w:val="0066234E"/>
    <w:rsid w:val="006623FE"/>
    <w:rsid w:val="006626A2"/>
    <w:rsid w:val="00662FED"/>
    <w:rsid w:val="0066311C"/>
    <w:rsid w:val="00663AAF"/>
    <w:rsid w:val="00663EF4"/>
    <w:rsid w:val="0066471C"/>
    <w:rsid w:val="006650A7"/>
    <w:rsid w:val="00665324"/>
    <w:rsid w:val="00665BA0"/>
    <w:rsid w:val="00665C39"/>
    <w:rsid w:val="00665EB9"/>
    <w:rsid w:val="00665F90"/>
    <w:rsid w:val="00666A92"/>
    <w:rsid w:val="00666B06"/>
    <w:rsid w:val="00666D2D"/>
    <w:rsid w:val="0066736C"/>
    <w:rsid w:val="0066745B"/>
    <w:rsid w:val="006676CB"/>
    <w:rsid w:val="006676FD"/>
    <w:rsid w:val="00667AB0"/>
    <w:rsid w:val="006700BC"/>
    <w:rsid w:val="0067030C"/>
    <w:rsid w:val="00670373"/>
    <w:rsid w:val="00670BA7"/>
    <w:rsid w:val="00671984"/>
    <w:rsid w:val="00671BCD"/>
    <w:rsid w:val="00671C56"/>
    <w:rsid w:val="00671CD9"/>
    <w:rsid w:val="0067213E"/>
    <w:rsid w:val="00673038"/>
    <w:rsid w:val="0067328F"/>
    <w:rsid w:val="006746BC"/>
    <w:rsid w:val="0067485F"/>
    <w:rsid w:val="00674A0C"/>
    <w:rsid w:val="00674D66"/>
    <w:rsid w:val="00674E0A"/>
    <w:rsid w:val="00675401"/>
    <w:rsid w:val="006758F4"/>
    <w:rsid w:val="00675B13"/>
    <w:rsid w:val="00675D16"/>
    <w:rsid w:val="0067652C"/>
    <w:rsid w:val="00676930"/>
    <w:rsid w:val="00676BC8"/>
    <w:rsid w:val="00676BEC"/>
    <w:rsid w:val="006772A8"/>
    <w:rsid w:val="006774F4"/>
    <w:rsid w:val="00677817"/>
    <w:rsid w:val="00677AD8"/>
    <w:rsid w:val="00677B62"/>
    <w:rsid w:val="0068001B"/>
    <w:rsid w:val="0068009E"/>
    <w:rsid w:val="00680407"/>
    <w:rsid w:val="0068047A"/>
    <w:rsid w:val="00680983"/>
    <w:rsid w:val="00680B66"/>
    <w:rsid w:val="0068105A"/>
    <w:rsid w:val="00681116"/>
    <w:rsid w:val="00681B7D"/>
    <w:rsid w:val="00681CE7"/>
    <w:rsid w:val="00681DDE"/>
    <w:rsid w:val="00682170"/>
    <w:rsid w:val="0068220E"/>
    <w:rsid w:val="006823E6"/>
    <w:rsid w:val="00682960"/>
    <w:rsid w:val="00682A00"/>
    <w:rsid w:val="00682B10"/>
    <w:rsid w:val="00682BA1"/>
    <w:rsid w:val="006833DA"/>
    <w:rsid w:val="006833E6"/>
    <w:rsid w:val="00683515"/>
    <w:rsid w:val="00683685"/>
    <w:rsid w:val="00683715"/>
    <w:rsid w:val="00683999"/>
    <w:rsid w:val="00683B3E"/>
    <w:rsid w:val="0068424C"/>
    <w:rsid w:val="006844D5"/>
    <w:rsid w:val="00684848"/>
    <w:rsid w:val="00684A8E"/>
    <w:rsid w:val="00684ADA"/>
    <w:rsid w:val="00684C05"/>
    <w:rsid w:val="00685083"/>
    <w:rsid w:val="006857A6"/>
    <w:rsid w:val="00685917"/>
    <w:rsid w:val="006868CE"/>
    <w:rsid w:val="00686C4E"/>
    <w:rsid w:val="00686D8F"/>
    <w:rsid w:val="00687233"/>
    <w:rsid w:val="006874D5"/>
    <w:rsid w:val="0068775D"/>
    <w:rsid w:val="00687961"/>
    <w:rsid w:val="00687C60"/>
    <w:rsid w:val="00687F7E"/>
    <w:rsid w:val="00690304"/>
    <w:rsid w:val="00690574"/>
    <w:rsid w:val="00690D4C"/>
    <w:rsid w:val="00690F74"/>
    <w:rsid w:val="00691211"/>
    <w:rsid w:val="00691236"/>
    <w:rsid w:val="00691A60"/>
    <w:rsid w:val="00691AAF"/>
    <w:rsid w:val="006928EA"/>
    <w:rsid w:val="00692CD1"/>
    <w:rsid w:val="0069319F"/>
    <w:rsid w:val="006934FD"/>
    <w:rsid w:val="00693A57"/>
    <w:rsid w:val="00693F9B"/>
    <w:rsid w:val="0069428C"/>
    <w:rsid w:val="006945B0"/>
    <w:rsid w:val="006948EB"/>
    <w:rsid w:val="00694B5E"/>
    <w:rsid w:val="006954B6"/>
    <w:rsid w:val="006959DA"/>
    <w:rsid w:val="00695B2C"/>
    <w:rsid w:val="00695D7D"/>
    <w:rsid w:val="00695E32"/>
    <w:rsid w:val="00695FD8"/>
    <w:rsid w:val="006966B2"/>
    <w:rsid w:val="00696F5C"/>
    <w:rsid w:val="00697206"/>
    <w:rsid w:val="006974EF"/>
    <w:rsid w:val="0069772E"/>
    <w:rsid w:val="00697E89"/>
    <w:rsid w:val="006A040E"/>
    <w:rsid w:val="006A071C"/>
    <w:rsid w:val="006A0950"/>
    <w:rsid w:val="006A0F6F"/>
    <w:rsid w:val="006A12EA"/>
    <w:rsid w:val="006A1409"/>
    <w:rsid w:val="006A17D2"/>
    <w:rsid w:val="006A1B76"/>
    <w:rsid w:val="006A1DC1"/>
    <w:rsid w:val="006A26BC"/>
    <w:rsid w:val="006A2D14"/>
    <w:rsid w:val="006A2FCE"/>
    <w:rsid w:val="006A37BA"/>
    <w:rsid w:val="006A3D9D"/>
    <w:rsid w:val="006A3E6A"/>
    <w:rsid w:val="006A4388"/>
    <w:rsid w:val="006A494C"/>
    <w:rsid w:val="006A4C34"/>
    <w:rsid w:val="006A4DD4"/>
    <w:rsid w:val="006A5080"/>
    <w:rsid w:val="006A5279"/>
    <w:rsid w:val="006A5378"/>
    <w:rsid w:val="006A53F2"/>
    <w:rsid w:val="006A5619"/>
    <w:rsid w:val="006A5D09"/>
    <w:rsid w:val="006A6116"/>
    <w:rsid w:val="006A6396"/>
    <w:rsid w:val="006A64C4"/>
    <w:rsid w:val="006A6530"/>
    <w:rsid w:val="006A686E"/>
    <w:rsid w:val="006A6879"/>
    <w:rsid w:val="006A6C28"/>
    <w:rsid w:val="006A6E4C"/>
    <w:rsid w:val="006A6F86"/>
    <w:rsid w:val="006A7208"/>
    <w:rsid w:val="006A73E6"/>
    <w:rsid w:val="006A75AD"/>
    <w:rsid w:val="006A789A"/>
    <w:rsid w:val="006A7A63"/>
    <w:rsid w:val="006A7DF0"/>
    <w:rsid w:val="006B01A9"/>
    <w:rsid w:val="006B0320"/>
    <w:rsid w:val="006B0680"/>
    <w:rsid w:val="006B09F4"/>
    <w:rsid w:val="006B0A06"/>
    <w:rsid w:val="006B0A82"/>
    <w:rsid w:val="006B1252"/>
    <w:rsid w:val="006B140A"/>
    <w:rsid w:val="006B15CE"/>
    <w:rsid w:val="006B17C3"/>
    <w:rsid w:val="006B18F0"/>
    <w:rsid w:val="006B1A15"/>
    <w:rsid w:val="006B1A48"/>
    <w:rsid w:val="006B1F6D"/>
    <w:rsid w:val="006B2C25"/>
    <w:rsid w:val="006B2CC7"/>
    <w:rsid w:val="006B2D5C"/>
    <w:rsid w:val="006B2FBF"/>
    <w:rsid w:val="006B33C4"/>
    <w:rsid w:val="006B351F"/>
    <w:rsid w:val="006B3714"/>
    <w:rsid w:val="006B3AF1"/>
    <w:rsid w:val="006B3D00"/>
    <w:rsid w:val="006B44C0"/>
    <w:rsid w:val="006B4D46"/>
    <w:rsid w:val="006B4DAB"/>
    <w:rsid w:val="006B51B9"/>
    <w:rsid w:val="006B57E1"/>
    <w:rsid w:val="006B5B8E"/>
    <w:rsid w:val="006B5E95"/>
    <w:rsid w:val="006B6442"/>
    <w:rsid w:val="006B6817"/>
    <w:rsid w:val="006B69B5"/>
    <w:rsid w:val="006B6F1E"/>
    <w:rsid w:val="006B6F29"/>
    <w:rsid w:val="006B71F6"/>
    <w:rsid w:val="006B7FA2"/>
    <w:rsid w:val="006C0784"/>
    <w:rsid w:val="006C0A65"/>
    <w:rsid w:val="006C0BE5"/>
    <w:rsid w:val="006C0FB6"/>
    <w:rsid w:val="006C11B7"/>
    <w:rsid w:val="006C128E"/>
    <w:rsid w:val="006C16D2"/>
    <w:rsid w:val="006C1767"/>
    <w:rsid w:val="006C17B3"/>
    <w:rsid w:val="006C1D5B"/>
    <w:rsid w:val="006C1E07"/>
    <w:rsid w:val="006C341D"/>
    <w:rsid w:val="006C3B01"/>
    <w:rsid w:val="006C4121"/>
    <w:rsid w:val="006C4468"/>
    <w:rsid w:val="006C4EB1"/>
    <w:rsid w:val="006C58EB"/>
    <w:rsid w:val="006C5A4F"/>
    <w:rsid w:val="006C6102"/>
    <w:rsid w:val="006C6164"/>
    <w:rsid w:val="006C6946"/>
    <w:rsid w:val="006C7244"/>
    <w:rsid w:val="006C7306"/>
    <w:rsid w:val="006C7774"/>
    <w:rsid w:val="006C77B8"/>
    <w:rsid w:val="006D0196"/>
    <w:rsid w:val="006D0592"/>
    <w:rsid w:val="006D0772"/>
    <w:rsid w:val="006D0A39"/>
    <w:rsid w:val="006D0AAE"/>
    <w:rsid w:val="006D0B3C"/>
    <w:rsid w:val="006D0B7D"/>
    <w:rsid w:val="006D0E40"/>
    <w:rsid w:val="006D0F9A"/>
    <w:rsid w:val="006D132D"/>
    <w:rsid w:val="006D1C43"/>
    <w:rsid w:val="006D1DAA"/>
    <w:rsid w:val="006D2A5F"/>
    <w:rsid w:val="006D2C15"/>
    <w:rsid w:val="006D2EC4"/>
    <w:rsid w:val="006D362F"/>
    <w:rsid w:val="006D39C6"/>
    <w:rsid w:val="006D47BD"/>
    <w:rsid w:val="006D57EF"/>
    <w:rsid w:val="006D5D2C"/>
    <w:rsid w:val="006D5ED9"/>
    <w:rsid w:val="006D640D"/>
    <w:rsid w:val="006D6D14"/>
    <w:rsid w:val="006D7534"/>
    <w:rsid w:val="006D796E"/>
    <w:rsid w:val="006D7A04"/>
    <w:rsid w:val="006D7E6F"/>
    <w:rsid w:val="006E0021"/>
    <w:rsid w:val="006E00A3"/>
    <w:rsid w:val="006E0123"/>
    <w:rsid w:val="006E0166"/>
    <w:rsid w:val="006E01E1"/>
    <w:rsid w:val="006E0E7A"/>
    <w:rsid w:val="006E1178"/>
    <w:rsid w:val="006E1697"/>
    <w:rsid w:val="006E1A3B"/>
    <w:rsid w:val="006E20C9"/>
    <w:rsid w:val="006E25DC"/>
    <w:rsid w:val="006E26D2"/>
    <w:rsid w:val="006E2743"/>
    <w:rsid w:val="006E28E8"/>
    <w:rsid w:val="006E2D18"/>
    <w:rsid w:val="006E362D"/>
    <w:rsid w:val="006E3AF6"/>
    <w:rsid w:val="006E3E8D"/>
    <w:rsid w:val="006E3EFB"/>
    <w:rsid w:val="006E3F67"/>
    <w:rsid w:val="006E434B"/>
    <w:rsid w:val="006E4695"/>
    <w:rsid w:val="006E5002"/>
    <w:rsid w:val="006E502D"/>
    <w:rsid w:val="006E54B0"/>
    <w:rsid w:val="006E56C1"/>
    <w:rsid w:val="006E58D1"/>
    <w:rsid w:val="006E5B92"/>
    <w:rsid w:val="006E5DDA"/>
    <w:rsid w:val="006E5E19"/>
    <w:rsid w:val="006E5EB1"/>
    <w:rsid w:val="006E621E"/>
    <w:rsid w:val="006E66A1"/>
    <w:rsid w:val="006E6C59"/>
    <w:rsid w:val="006E6E42"/>
    <w:rsid w:val="006E7167"/>
    <w:rsid w:val="006E72D0"/>
    <w:rsid w:val="006E73D4"/>
    <w:rsid w:val="006E752E"/>
    <w:rsid w:val="006E7583"/>
    <w:rsid w:val="006E76E6"/>
    <w:rsid w:val="006E7B34"/>
    <w:rsid w:val="006E7DF9"/>
    <w:rsid w:val="006F0078"/>
    <w:rsid w:val="006F0305"/>
    <w:rsid w:val="006F09EB"/>
    <w:rsid w:val="006F0A0A"/>
    <w:rsid w:val="006F0BBD"/>
    <w:rsid w:val="006F1121"/>
    <w:rsid w:val="006F165F"/>
    <w:rsid w:val="006F1C06"/>
    <w:rsid w:val="006F1CF4"/>
    <w:rsid w:val="006F1FFC"/>
    <w:rsid w:val="006F241B"/>
    <w:rsid w:val="006F273B"/>
    <w:rsid w:val="006F2B4A"/>
    <w:rsid w:val="006F3397"/>
    <w:rsid w:val="006F34E3"/>
    <w:rsid w:val="006F3DC4"/>
    <w:rsid w:val="006F474A"/>
    <w:rsid w:val="006F491C"/>
    <w:rsid w:val="006F4CE6"/>
    <w:rsid w:val="006F4E46"/>
    <w:rsid w:val="006F5275"/>
    <w:rsid w:val="006F5AAE"/>
    <w:rsid w:val="006F5C1B"/>
    <w:rsid w:val="006F5FB6"/>
    <w:rsid w:val="006F631D"/>
    <w:rsid w:val="006F6BCC"/>
    <w:rsid w:val="006F710E"/>
    <w:rsid w:val="006F79EC"/>
    <w:rsid w:val="006F7EE3"/>
    <w:rsid w:val="00700215"/>
    <w:rsid w:val="00700A19"/>
    <w:rsid w:val="00700C8B"/>
    <w:rsid w:val="00701983"/>
    <w:rsid w:val="00701F15"/>
    <w:rsid w:val="00701F4D"/>
    <w:rsid w:val="0070217A"/>
    <w:rsid w:val="00702755"/>
    <w:rsid w:val="00702CD9"/>
    <w:rsid w:val="00702CE9"/>
    <w:rsid w:val="00702D8E"/>
    <w:rsid w:val="00702F28"/>
    <w:rsid w:val="007032B2"/>
    <w:rsid w:val="0070384E"/>
    <w:rsid w:val="00703A3A"/>
    <w:rsid w:val="00703E40"/>
    <w:rsid w:val="00703E6F"/>
    <w:rsid w:val="00704084"/>
    <w:rsid w:val="00704237"/>
    <w:rsid w:val="007042C0"/>
    <w:rsid w:val="0070448F"/>
    <w:rsid w:val="007045A2"/>
    <w:rsid w:val="00704943"/>
    <w:rsid w:val="0070498B"/>
    <w:rsid w:val="00704E13"/>
    <w:rsid w:val="00704F4E"/>
    <w:rsid w:val="00704F63"/>
    <w:rsid w:val="00705013"/>
    <w:rsid w:val="00705668"/>
    <w:rsid w:val="00705C69"/>
    <w:rsid w:val="00705E34"/>
    <w:rsid w:val="0070697F"/>
    <w:rsid w:val="007073E2"/>
    <w:rsid w:val="007079BD"/>
    <w:rsid w:val="00707B7D"/>
    <w:rsid w:val="00707BF5"/>
    <w:rsid w:val="00710113"/>
    <w:rsid w:val="00710772"/>
    <w:rsid w:val="00710D41"/>
    <w:rsid w:val="007114BB"/>
    <w:rsid w:val="0071162D"/>
    <w:rsid w:val="00711B80"/>
    <w:rsid w:val="00711E01"/>
    <w:rsid w:val="00711E1E"/>
    <w:rsid w:val="00711F99"/>
    <w:rsid w:val="007124F8"/>
    <w:rsid w:val="00712705"/>
    <w:rsid w:val="007127ED"/>
    <w:rsid w:val="007127FA"/>
    <w:rsid w:val="00712A15"/>
    <w:rsid w:val="0071326C"/>
    <w:rsid w:val="00713551"/>
    <w:rsid w:val="00713632"/>
    <w:rsid w:val="00713B81"/>
    <w:rsid w:val="00713E33"/>
    <w:rsid w:val="00713F6D"/>
    <w:rsid w:val="00714470"/>
    <w:rsid w:val="00714474"/>
    <w:rsid w:val="007144B7"/>
    <w:rsid w:val="007146D8"/>
    <w:rsid w:val="00714904"/>
    <w:rsid w:val="00714B32"/>
    <w:rsid w:val="007155B6"/>
    <w:rsid w:val="0071591F"/>
    <w:rsid w:val="00715971"/>
    <w:rsid w:val="007166D4"/>
    <w:rsid w:val="00717B02"/>
    <w:rsid w:val="00717FFA"/>
    <w:rsid w:val="007200CC"/>
    <w:rsid w:val="00720893"/>
    <w:rsid w:val="00720928"/>
    <w:rsid w:val="007209ED"/>
    <w:rsid w:val="007209F2"/>
    <w:rsid w:val="00720F8E"/>
    <w:rsid w:val="00720FD7"/>
    <w:rsid w:val="00721111"/>
    <w:rsid w:val="0072115B"/>
    <w:rsid w:val="007215FD"/>
    <w:rsid w:val="0072199C"/>
    <w:rsid w:val="00721AD2"/>
    <w:rsid w:val="00721B11"/>
    <w:rsid w:val="00721F44"/>
    <w:rsid w:val="007222C5"/>
    <w:rsid w:val="00722D18"/>
    <w:rsid w:val="00722D61"/>
    <w:rsid w:val="00722DBA"/>
    <w:rsid w:val="00723163"/>
    <w:rsid w:val="0072344D"/>
    <w:rsid w:val="00723A38"/>
    <w:rsid w:val="00724A71"/>
    <w:rsid w:val="00724D73"/>
    <w:rsid w:val="00724E06"/>
    <w:rsid w:val="007253B8"/>
    <w:rsid w:val="00725557"/>
    <w:rsid w:val="007255D9"/>
    <w:rsid w:val="007255DB"/>
    <w:rsid w:val="00725626"/>
    <w:rsid w:val="00725B47"/>
    <w:rsid w:val="00725E74"/>
    <w:rsid w:val="007264EF"/>
    <w:rsid w:val="00726EB2"/>
    <w:rsid w:val="0072728A"/>
    <w:rsid w:val="007272C5"/>
    <w:rsid w:val="007274DE"/>
    <w:rsid w:val="00727C60"/>
    <w:rsid w:val="007301C7"/>
    <w:rsid w:val="007303F5"/>
    <w:rsid w:val="00730AED"/>
    <w:rsid w:val="007311D8"/>
    <w:rsid w:val="007319B6"/>
    <w:rsid w:val="00731B6C"/>
    <w:rsid w:val="00731BB8"/>
    <w:rsid w:val="00731C2E"/>
    <w:rsid w:val="00731D3B"/>
    <w:rsid w:val="007322D8"/>
    <w:rsid w:val="0073271A"/>
    <w:rsid w:val="00732A0F"/>
    <w:rsid w:val="00732AA5"/>
    <w:rsid w:val="00732DCF"/>
    <w:rsid w:val="00733029"/>
    <w:rsid w:val="00733344"/>
    <w:rsid w:val="007337FC"/>
    <w:rsid w:val="00733A89"/>
    <w:rsid w:val="00733BC5"/>
    <w:rsid w:val="00733FB1"/>
    <w:rsid w:val="00734267"/>
    <w:rsid w:val="00734F47"/>
    <w:rsid w:val="00735244"/>
    <w:rsid w:val="007353CB"/>
    <w:rsid w:val="00735439"/>
    <w:rsid w:val="00735820"/>
    <w:rsid w:val="00735C10"/>
    <w:rsid w:val="00735E15"/>
    <w:rsid w:val="007363AB"/>
    <w:rsid w:val="00736621"/>
    <w:rsid w:val="00736A4B"/>
    <w:rsid w:val="00736A5A"/>
    <w:rsid w:val="00737152"/>
    <w:rsid w:val="0073741F"/>
    <w:rsid w:val="0074053B"/>
    <w:rsid w:val="00740558"/>
    <w:rsid w:val="007406AC"/>
    <w:rsid w:val="00740D0C"/>
    <w:rsid w:val="0074199E"/>
    <w:rsid w:val="00741CA3"/>
    <w:rsid w:val="00741CC0"/>
    <w:rsid w:val="00741FB7"/>
    <w:rsid w:val="0074209F"/>
    <w:rsid w:val="007421AC"/>
    <w:rsid w:val="007425C7"/>
    <w:rsid w:val="00742AFA"/>
    <w:rsid w:val="00742B58"/>
    <w:rsid w:val="00742D79"/>
    <w:rsid w:val="00743516"/>
    <w:rsid w:val="00743769"/>
    <w:rsid w:val="007438F1"/>
    <w:rsid w:val="00743D3B"/>
    <w:rsid w:val="00743EA6"/>
    <w:rsid w:val="00744187"/>
    <w:rsid w:val="00744387"/>
    <w:rsid w:val="007444E9"/>
    <w:rsid w:val="00744508"/>
    <w:rsid w:val="0074478D"/>
    <w:rsid w:val="0074488D"/>
    <w:rsid w:val="00744B62"/>
    <w:rsid w:val="0074509F"/>
    <w:rsid w:val="00745A9C"/>
    <w:rsid w:val="0074602F"/>
    <w:rsid w:val="0074626D"/>
    <w:rsid w:val="0074649B"/>
    <w:rsid w:val="0074670B"/>
    <w:rsid w:val="00746D77"/>
    <w:rsid w:val="00746D7B"/>
    <w:rsid w:val="007470B2"/>
    <w:rsid w:val="00747573"/>
    <w:rsid w:val="00747D8B"/>
    <w:rsid w:val="0075008E"/>
    <w:rsid w:val="0075120E"/>
    <w:rsid w:val="007518E6"/>
    <w:rsid w:val="00751BC3"/>
    <w:rsid w:val="0075203A"/>
    <w:rsid w:val="0075265F"/>
    <w:rsid w:val="007527F2"/>
    <w:rsid w:val="007528B9"/>
    <w:rsid w:val="007528BE"/>
    <w:rsid w:val="00752A4D"/>
    <w:rsid w:val="00752DDB"/>
    <w:rsid w:val="007536A9"/>
    <w:rsid w:val="0075385A"/>
    <w:rsid w:val="00754112"/>
    <w:rsid w:val="007543A5"/>
    <w:rsid w:val="007543DF"/>
    <w:rsid w:val="007545C9"/>
    <w:rsid w:val="00754A19"/>
    <w:rsid w:val="00754E62"/>
    <w:rsid w:val="0075543B"/>
    <w:rsid w:val="007554FC"/>
    <w:rsid w:val="007555A2"/>
    <w:rsid w:val="007555B4"/>
    <w:rsid w:val="007556D6"/>
    <w:rsid w:val="007559AC"/>
    <w:rsid w:val="00755FDC"/>
    <w:rsid w:val="00756151"/>
    <w:rsid w:val="0075696C"/>
    <w:rsid w:val="00756BE5"/>
    <w:rsid w:val="007573DE"/>
    <w:rsid w:val="007576D1"/>
    <w:rsid w:val="007578A2"/>
    <w:rsid w:val="00757949"/>
    <w:rsid w:val="00757EE9"/>
    <w:rsid w:val="00760E34"/>
    <w:rsid w:val="0076102B"/>
    <w:rsid w:val="00762321"/>
    <w:rsid w:val="0076258E"/>
    <w:rsid w:val="00762BBB"/>
    <w:rsid w:val="00763282"/>
    <w:rsid w:val="0076334D"/>
    <w:rsid w:val="007642E5"/>
    <w:rsid w:val="00764578"/>
    <w:rsid w:val="007646DD"/>
    <w:rsid w:val="00764E45"/>
    <w:rsid w:val="007650EA"/>
    <w:rsid w:val="00765397"/>
    <w:rsid w:val="00765557"/>
    <w:rsid w:val="007655F3"/>
    <w:rsid w:val="007658BB"/>
    <w:rsid w:val="007660FC"/>
    <w:rsid w:val="00766170"/>
    <w:rsid w:val="0076643F"/>
    <w:rsid w:val="00766855"/>
    <w:rsid w:val="00766C32"/>
    <w:rsid w:val="00766DE1"/>
    <w:rsid w:val="00766EA0"/>
    <w:rsid w:val="00766FD3"/>
    <w:rsid w:val="0076720B"/>
    <w:rsid w:val="007673D9"/>
    <w:rsid w:val="00767501"/>
    <w:rsid w:val="007676BE"/>
    <w:rsid w:val="007677F1"/>
    <w:rsid w:val="007708B3"/>
    <w:rsid w:val="00770C19"/>
    <w:rsid w:val="007710D8"/>
    <w:rsid w:val="007716DA"/>
    <w:rsid w:val="0077198E"/>
    <w:rsid w:val="00771C9A"/>
    <w:rsid w:val="00772433"/>
    <w:rsid w:val="00772A89"/>
    <w:rsid w:val="00772C4C"/>
    <w:rsid w:val="00772CC1"/>
    <w:rsid w:val="00772EFA"/>
    <w:rsid w:val="0077358B"/>
    <w:rsid w:val="00773E4D"/>
    <w:rsid w:val="00774418"/>
    <w:rsid w:val="007746B6"/>
    <w:rsid w:val="00774B7A"/>
    <w:rsid w:val="00774C6F"/>
    <w:rsid w:val="00774C7A"/>
    <w:rsid w:val="00774DF0"/>
    <w:rsid w:val="0077501B"/>
    <w:rsid w:val="007753D7"/>
    <w:rsid w:val="007755C7"/>
    <w:rsid w:val="007765C5"/>
    <w:rsid w:val="00776645"/>
    <w:rsid w:val="00776648"/>
    <w:rsid w:val="007767EF"/>
    <w:rsid w:val="00776913"/>
    <w:rsid w:val="00776DC6"/>
    <w:rsid w:val="00776F61"/>
    <w:rsid w:val="00776FDE"/>
    <w:rsid w:val="00777114"/>
    <w:rsid w:val="007801FB"/>
    <w:rsid w:val="00780581"/>
    <w:rsid w:val="00780661"/>
    <w:rsid w:val="0078099E"/>
    <w:rsid w:val="007809F9"/>
    <w:rsid w:val="00780F38"/>
    <w:rsid w:val="0078174E"/>
    <w:rsid w:val="00781B69"/>
    <w:rsid w:val="00782585"/>
    <w:rsid w:val="00782A6F"/>
    <w:rsid w:val="00782C20"/>
    <w:rsid w:val="00782CD8"/>
    <w:rsid w:val="00782CFB"/>
    <w:rsid w:val="0078318D"/>
    <w:rsid w:val="00783A0A"/>
    <w:rsid w:val="00783C86"/>
    <w:rsid w:val="00784139"/>
    <w:rsid w:val="00784328"/>
    <w:rsid w:val="0078432E"/>
    <w:rsid w:val="0078460C"/>
    <w:rsid w:val="00784766"/>
    <w:rsid w:val="007848A4"/>
    <w:rsid w:val="00784AC1"/>
    <w:rsid w:val="00784C30"/>
    <w:rsid w:val="00784E03"/>
    <w:rsid w:val="00785213"/>
    <w:rsid w:val="00785691"/>
    <w:rsid w:val="00785B6E"/>
    <w:rsid w:val="00785BBF"/>
    <w:rsid w:val="00785F90"/>
    <w:rsid w:val="007863BC"/>
    <w:rsid w:val="0078689C"/>
    <w:rsid w:val="0078697D"/>
    <w:rsid w:val="00786CC8"/>
    <w:rsid w:val="00786DB3"/>
    <w:rsid w:val="00786F41"/>
    <w:rsid w:val="0078756D"/>
    <w:rsid w:val="00790178"/>
    <w:rsid w:val="00790243"/>
    <w:rsid w:val="007903D4"/>
    <w:rsid w:val="00790F8B"/>
    <w:rsid w:val="00790FAB"/>
    <w:rsid w:val="007913E9"/>
    <w:rsid w:val="00791828"/>
    <w:rsid w:val="00791A91"/>
    <w:rsid w:val="00791EB2"/>
    <w:rsid w:val="00792525"/>
    <w:rsid w:val="00792A15"/>
    <w:rsid w:val="00793132"/>
    <w:rsid w:val="007933DE"/>
    <w:rsid w:val="007934F9"/>
    <w:rsid w:val="007938CA"/>
    <w:rsid w:val="00793971"/>
    <w:rsid w:val="00793AED"/>
    <w:rsid w:val="00793C41"/>
    <w:rsid w:val="00793CB7"/>
    <w:rsid w:val="0079417D"/>
    <w:rsid w:val="00794475"/>
    <w:rsid w:val="00794641"/>
    <w:rsid w:val="0079488C"/>
    <w:rsid w:val="00794CD0"/>
    <w:rsid w:val="007950AC"/>
    <w:rsid w:val="007955DC"/>
    <w:rsid w:val="007957F7"/>
    <w:rsid w:val="00796236"/>
    <w:rsid w:val="00796A26"/>
    <w:rsid w:val="00796F65"/>
    <w:rsid w:val="00797B5F"/>
    <w:rsid w:val="00797DD9"/>
    <w:rsid w:val="007A0688"/>
    <w:rsid w:val="007A101F"/>
    <w:rsid w:val="007A10D1"/>
    <w:rsid w:val="007A17E4"/>
    <w:rsid w:val="007A1CE0"/>
    <w:rsid w:val="007A1EC7"/>
    <w:rsid w:val="007A24FA"/>
    <w:rsid w:val="007A26BF"/>
    <w:rsid w:val="007A29CE"/>
    <w:rsid w:val="007A29E9"/>
    <w:rsid w:val="007A2B3C"/>
    <w:rsid w:val="007A33CA"/>
    <w:rsid w:val="007A3EC1"/>
    <w:rsid w:val="007A4039"/>
    <w:rsid w:val="007A440D"/>
    <w:rsid w:val="007A46C7"/>
    <w:rsid w:val="007A4794"/>
    <w:rsid w:val="007A4A25"/>
    <w:rsid w:val="007A4E0E"/>
    <w:rsid w:val="007A539D"/>
    <w:rsid w:val="007A5817"/>
    <w:rsid w:val="007A583A"/>
    <w:rsid w:val="007A5C8B"/>
    <w:rsid w:val="007A5CFA"/>
    <w:rsid w:val="007A5E60"/>
    <w:rsid w:val="007A6075"/>
    <w:rsid w:val="007A62FB"/>
    <w:rsid w:val="007A6B39"/>
    <w:rsid w:val="007A6C8C"/>
    <w:rsid w:val="007A6E2E"/>
    <w:rsid w:val="007A6E5C"/>
    <w:rsid w:val="007A7FED"/>
    <w:rsid w:val="007B01BB"/>
    <w:rsid w:val="007B03A8"/>
    <w:rsid w:val="007B043F"/>
    <w:rsid w:val="007B05F9"/>
    <w:rsid w:val="007B0A16"/>
    <w:rsid w:val="007B0CE3"/>
    <w:rsid w:val="007B0EC9"/>
    <w:rsid w:val="007B12AB"/>
    <w:rsid w:val="007B197F"/>
    <w:rsid w:val="007B1A8A"/>
    <w:rsid w:val="007B1F4F"/>
    <w:rsid w:val="007B204B"/>
    <w:rsid w:val="007B2383"/>
    <w:rsid w:val="007B2B9C"/>
    <w:rsid w:val="007B3C7F"/>
    <w:rsid w:val="007B3D30"/>
    <w:rsid w:val="007B3E4B"/>
    <w:rsid w:val="007B48C7"/>
    <w:rsid w:val="007B4920"/>
    <w:rsid w:val="007B515B"/>
    <w:rsid w:val="007B51AE"/>
    <w:rsid w:val="007B52BC"/>
    <w:rsid w:val="007B59A2"/>
    <w:rsid w:val="007B5B52"/>
    <w:rsid w:val="007B5D67"/>
    <w:rsid w:val="007B60E9"/>
    <w:rsid w:val="007B659B"/>
    <w:rsid w:val="007B6779"/>
    <w:rsid w:val="007B6CC3"/>
    <w:rsid w:val="007B7113"/>
    <w:rsid w:val="007B752C"/>
    <w:rsid w:val="007B75D3"/>
    <w:rsid w:val="007B7C16"/>
    <w:rsid w:val="007B7D3B"/>
    <w:rsid w:val="007C008E"/>
    <w:rsid w:val="007C01B1"/>
    <w:rsid w:val="007C0801"/>
    <w:rsid w:val="007C0C13"/>
    <w:rsid w:val="007C0DA5"/>
    <w:rsid w:val="007C14AD"/>
    <w:rsid w:val="007C1580"/>
    <w:rsid w:val="007C1B4C"/>
    <w:rsid w:val="007C1CC8"/>
    <w:rsid w:val="007C1DBF"/>
    <w:rsid w:val="007C2060"/>
    <w:rsid w:val="007C2330"/>
    <w:rsid w:val="007C27C3"/>
    <w:rsid w:val="007C2FF6"/>
    <w:rsid w:val="007C3073"/>
    <w:rsid w:val="007C3334"/>
    <w:rsid w:val="007C351D"/>
    <w:rsid w:val="007C5006"/>
    <w:rsid w:val="007C50C6"/>
    <w:rsid w:val="007C52EC"/>
    <w:rsid w:val="007C5473"/>
    <w:rsid w:val="007C5A76"/>
    <w:rsid w:val="007C6142"/>
    <w:rsid w:val="007C6258"/>
    <w:rsid w:val="007C643F"/>
    <w:rsid w:val="007C678C"/>
    <w:rsid w:val="007C68C5"/>
    <w:rsid w:val="007C6F41"/>
    <w:rsid w:val="007C6F65"/>
    <w:rsid w:val="007C7891"/>
    <w:rsid w:val="007C7E5C"/>
    <w:rsid w:val="007D018A"/>
    <w:rsid w:val="007D0B97"/>
    <w:rsid w:val="007D0C8C"/>
    <w:rsid w:val="007D0E3C"/>
    <w:rsid w:val="007D10B3"/>
    <w:rsid w:val="007D1170"/>
    <w:rsid w:val="007D1432"/>
    <w:rsid w:val="007D16DC"/>
    <w:rsid w:val="007D19F7"/>
    <w:rsid w:val="007D2484"/>
    <w:rsid w:val="007D2494"/>
    <w:rsid w:val="007D259A"/>
    <w:rsid w:val="007D2A18"/>
    <w:rsid w:val="007D2B98"/>
    <w:rsid w:val="007D2DF3"/>
    <w:rsid w:val="007D33BB"/>
    <w:rsid w:val="007D37C2"/>
    <w:rsid w:val="007D3B9F"/>
    <w:rsid w:val="007D3C1A"/>
    <w:rsid w:val="007D3D79"/>
    <w:rsid w:val="007D3E2C"/>
    <w:rsid w:val="007D4D0A"/>
    <w:rsid w:val="007D4F01"/>
    <w:rsid w:val="007D5AD1"/>
    <w:rsid w:val="007D5F5F"/>
    <w:rsid w:val="007D6705"/>
    <w:rsid w:val="007D6A1B"/>
    <w:rsid w:val="007D733F"/>
    <w:rsid w:val="007D7568"/>
    <w:rsid w:val="007D7C4D"/>
    <w:rsid w:val="007D7F07"/>
    <w:rsid w:val="007E0337"/>
    <w:rsid w:val="007E03CE"/>
    <w:rsid w:val="007E05CF"/>
    <w:rsid w:val="007E07FA"/>
    <w:rsid w:val="007E0A89"/>
    <w:rsid w:val="007E0D10"/>
    <w:rsid w:val="007E0D92"/>
    <w:rsid w:val="007E1554"/>
    <w:rsid w:val="007E1751"/>
    <w:rsid w:val="007E1768"/>
    <w:rsid w:val="007E21BC"/>
    <w:rsid w:val="007E292D"/>
    <w:rsid w:val="007E2B3E"/>
    <w:rsid w:val="007E3835"/>
    <w:rsid w:val="007E38E5"/>
    <w:rsid w:val="007E3913"/>
    <w:rsid w:val="007E41D2"/>
    <w:rsid w:val="007E441B"/>
    <w:rsid w:val="007E4D79"/>
    <w:rsid w:val="007E5009"/>
    <w:rsid w:val="007E53EC"/>
    <w:rsid w:val="007E5490"/>
    <w:rsid w:val="007E585F"/>
    <w:rsid w:val="007E593F"/>
    <w:rsid w:val="007E5A40"/>
    <w:rsid w:val="007E5D40"/>
    <w:rsid w:val="007E61C5"/>
    <w:rsid w:val="007E6417"/>
    <w:rsid w:val="007E677C"/>
    <w:rsid w:val="007E752B"/>
    <w:rsid w:val="007E75A9"/>
    <w:rsid w:val="007E799A"/>
    <w:rsid w:val="007E7A78"/>
    <w:rsid w:val="007E7B7A"/>
    <w:rsid w:val="007E7C09"/>
    <w:rsid w:val="007E7C40"/>
    <w:rsid w:val="007F0264"/>
    <w:rsid w:val="007F0496"/>
    <w:rsid w:val="007F0713"/>
    <w:rsid w:val="007F0A18"/>
    <w:rsid w:val="007F0C72"/>
    <w:rsid w:val="007F0D3D"/>
    <w:rsid w:val="007F0D3F"/>
    <w:rsid w:val="007F10C6"/>
    <w:rsid w:val="007F171B"/>
    <w:rsid w:val="007F171E"/>
    <w:rsid w:val="007F1A6E"/>
    <w:rsid w:val="007F1CD8"/>
    <w:rsid w:val="007F2072"/>
    <w:rsid w:val="007F22E5"/>
    <w:rsid w:val="007F2DC3"/>
    <w:rsid w:val="007F3406"/>
    <w:rsid w:val="007F38F9"/>
    <w:rsid w:val="007F400D"/>
    <w:rsid w:val="007F47E4"/>
    <w:rsid w:val="007F48EE"/>
    <w:rsid w:val="007F496F"/>
    <w:rsid w:val="007F4C17"/>
    <w:rsid w:val="007F4C60"/>
    <w:rsid w:val="007F5266"/>
    <w:rsid w:val="007F5537"/>
    <w:rsid w:val="007F55EC"/>
    <w:rsid w:val="007F5661"/>
    <w:rsid w:val="007F5A3A"/>
    <w:rsid w:val="007F5D54"/>
    <w:rsid w:val="007F6080"/>
    <w:rsid w:val="007F6089"/>
    <w:rsid w:val="007F60D4"/>
    <w:rsid w:val="007F62F3"/>
    <w:rsid w:val="007F673D"/>
    <w:rsid w:val="007F69D0"/>
    <w:rsid w:val="007F6BD5"/>
    <w:rsid w:val="007F6CA5"/>
    <w:rsid w:val="007F6F48"/>
    <w:rsid w:val="007F6F94"/>
    <w:rsid w:val="007F7D9D"/>
    <w:rsid w:val="0080085C"/>
    <w:rsid w:val="0080094F"/>
    <w:rsid w:val="00800B51"/>
    <w:rsid w:val="0080142B"/>
    <w:rsid w:val="0080146C"/>
    <w:rsid w:val="00802182"/>
    <w:rsid w:val="00802659"/>
    <w:rsid w:val="008027CE"/>
    <w:rsid w:val="00802E5B"/>
    <w:rsid w:val="00802E76"/>
    <w:rsid w:val="00802F87"/>
    <w:rsid w:val="0080398A"/>
    <w:rsid w:val="00803ADA"/>
    <w:rsid w:val="00803C4D"/>
    <w:rsid w:val="00803F1C"/>
    <w:rsid w:val="0080533B"/>
    <w:rsid w:val="0080591D"/>
    <w:rsid w:val="0080600E"/>
    <w:rsid w:val="008060E0"/>
    <w:rsid w:val="0080612C"/>
    <w:rsid w:val="0080639F"/>
    <w:rsid w:val="008069C1"/>
    <w:rsid w:val="008069D1"/>
    <w:rsid w:val="00806CE0"/>
    <w:rsid w:val="00806D71"/>
    <w:rsid w:val="00807593"/>
    <w:rsid w:val="008079CC"/>
    <w:rsid w:val="008101FE"/>
    <w:rsid w:val="00810541"/>
    <w:rsid w:val="0081082A"/>
    <w:rsid w:val="00810AC5"/>
    <w:rsid w:val="00810F65"/>
    <w:rsid w:val="00811988"/>
    <w:rsid w:val="00811AF5"/>
    <w:rsid w:val="008124AE"/>
    <w:rsid w:val="00812ACD"/>
    <w:rsid w:val="00812B0F"/>
    <w:rsid w:val="008140C5"/>
    <w:rsid w:val="0081449E"/>
    <w:rsid w:val="008146EC"/>
    <w:rsid w:val="0081496B"/>
    <w:rsid w:val="00815207"/>
    <w:rsid w:val="00815497"/>
    <w:rsid w:val="00815A24"/>
    <w:rsid w:val="00815CF9"/>
    <w:rsid w:val="00815E08"/>
    <w:rsid w:val="00816064"/>
    <w:rsid w:val="00816074"/>
    <w:rsid w:val="00816112"/>
    <w:rsid w:val="008161FF"/>
    <w:rsid w:val="00816A42"/>
    <w:rsid w:val="00816AE5"/>
    <w:rsid w:val="00816ED6"/>
    <w:rsid w:val="00817276"/>
    <w:rsid w:val="00817612"/>
    <w:rsid w:val="00817AA5"/>
    <w:rsid w:val="00817B08"/>
    <w:rsid w:val="00817C55"/>
    <w:rsid w:val="00817E57"/>
    <w:rsid w:val="00821FF7"/>
    <w:rsid w:val="0082233B"/>
    <w:rsid w:val="0082287D"/>
    <w:rsid w:val="00822FF5"/>
    <w:rsid w:val="0082333F"/>
    <w:rsid w:val="008234BE"/>
    <w:rsid w:val="0082350F"/>
    <w:rsid w:val="008238F3"/>
    <w:rsid w:val="00824A3F"/>
    <w:rsid w:val="008251F3"/>
    <w:rsid w:val="00825364"/>
    <w:rsid w:val="0082558D"/>
    <w:rsid w:val="00825623"/>
    <w:rsid w:val="008258DE"/>
    <w:rsid w:val="00825D2C"/>
    <w:rsid w:val="00825F67"/>
    <w:rsid w:val="00825FF9"/>
    <w:rsid w:val="008266B8"/>
    <w:rsid w:val="00826860"/>
    <w:rsid w:val="00826E6F"/>
    <w:rsid w:val="008271E7"/>
    <w:rsid w:val="00827229"/>
    <w:rsid w:val="00827365"/>
    <w:rsid w:val="00827622"/>
    <w:rsid w:val="0082785F"/>
    <w:rsid w:val="00827DE1"/>
    <w:rsid w:val="008304A4"/>
    <w:rsid w:val="00830929"/>
    <w:rsid w:val="008309CD"/>
    <w:rsid w:val="00830B9B"/>
    <w:rsid w:val="00830C4A"/>
    <w:rsid w:val="00830F17"/>
    <w:rsid w:val="0083146E"/>
    <w:rsid w:val="008314F3"/>
    <w:rsid w:val="00832512"/>
    <w:rsid w:val="00832873"/>
    <w:rsid w:val="00832E7E"/>
    <w:rsid w:val="00833633"/>
    <w:rsid w:val="00833661"/>
    <w:rsid w:val="008336D0"/>
    <w:rsid w:val="008338A4"/>
    <w:rsid w:val="0083395A"/>
    <w:rsid w:val="00833D47"/>
    <w:rsid w:val="00833D8C"/>
    <w:rsid w:val="00834158"/>
    <w:rsid w:val="00835216"/>
    <w:rsid w:val="00835819"/>
    <w:rsid w:val="0083588E"/>
    <w:rsid w:val="00836060"/>
    <w:rsid w:val="0083613A"/>
    <w:rsid w:val="0083618D"/>
    <w:rsid w:val="0083654E"/>
    <w:rsid w:val="00836907"/>
    <w:rsid w:val="00837083"/>
    <w:rsid w:val="008375A0"/>
    <w:rsid w:val="00837C45"/>
    <w:rsid w:val="008406B4"/>
    <w:rsid w:val="008417D9"/>
    <w:rsid w:val="008418D2"/>
    <w:rsid w:val="00841986"/>
    <w:rsid w:val="00841B6E"/>
    <w:rsid w:val="00841E8D"/>
    <w:rsid w:val="00842033"/>
    <w:rsid w:val="0084206C"/>
    <w:rsid w:val="00842510"/>
    <w:rsid w:val="00842BB7"/>
    <w:rsid w:val="008434BF"/>
    <w:rsid w:val="008436B8"/>
    <w:rsid w:val="00843BA5"/>
    <w:rsid w:val="0084404F"/>
    <w:rsid w:val="0084424C"/>
    <w:rsid w:val="00844730"/>
    <w:rsid w:val="00844798"/>
    <w:rsid w:val="00845447"/>
    <w:rsid w:val="008457C2"/>
    <w:rsid w:val="0084582A"/>
    <w:rsid w:val="00845DC2"/>
    <w:rsid w:val="00845E77"/>
    <w:rsid w:val="00846006"/>
    <w:rsid w:val="0084643A"/>
    <w:rsid w:val="00846555"/>
    <w:rsid w:val="008467FD"/>
    <w:rsid w:val="00846BF9"/>
    <w:rsid w:val="00846DCA"/>
    <w:rsid w:val="00846F83"/>
    <w:rsid w:val="00847D04"/>
    <w:rsid w:val="00847D66"/>
    <w:rsid w:val="0085013F"/>
    <w:rsid w:val="008505C6"/>
    <w:rsid w:val="008508B9"/>
    <w:rsid w:val="00850E4D"/>
    <w:rsid w:val="00851376"/>
    <w:rsid w:val="008518C1"/>
    <w:rsid w:val="00851BEA"/>
    <w:rsid w:val="008520EB"/>
    <w:rsid w:val="008525A9"/>
    <w:rsid w:val="00852FD0"/>
    <w:rsid w:val="00853530"/>
    <w:rsid w:val="00853988"/>
    <w:rsid w:val="00853B54"/>
    <w:rsid w:val="00853F9D"/>
    <w:rsid w:val="008540B6"/>
    <w:rsid w:val="008540EE"/>
    <w:rsid w:val="0085423E"/>
    <w:rsid w:val="0085457E"/>
    <w:rsid w:val="008548B0"/>
    <w:rsid w:val="008548E4"/>
    <w:rsid w:val="0085508C"/>
    <w:rsid w:val="008550C6"/>
    <w:rsid w:val="0085567C"/>
    <w:rsid w:val="008556CA"/>
    <w:rsid w:val="00855D9C"/>
    <w:rsid w:val="00856075"/>
    <w:rsid w:val="008563A3"/>
    <w:rsid w:val="008574B3"/>
    <w:rsid w:val="00857750"/>
    <w:rsid w:val="008579B5"/>
    <w:rsid w:val="00857A82"/>
    <w:rsid w:val="00857D41"/>
    <w:rsid w:val="008600D6"/>
    <w:rsid w:val="0086031A"/>
    <w:rsid w:val="008603F2"/>
    <w:rsid w:val="0086093A"/>
    <w:rsid w:val="00860B5F"/>
    <w:rsid w:val="008611BC"/>
    <w:rsid w:val="008616FA"/>
    <w:rsid w:val="00861880"/>
    <w:rsid w:val="008619A1"/>
    <w:rsid w:val="00861D82"/>
    <w:rsid w:val="00862253"/>
    <w:rsid w:val="008627EF"/>
    <w:rsid w:val="008629F3"/>
    <w:rsid w:val="00862A94"/>
    <w:rsid w:val="00862EC5"/>
    <w:rsid w:val="00863057"/>
    <w:rsid w:val="00863802"/>
    <w:rsid w:val="00863ED4"/>
    <w:rsid w:val="0086456A"/>
    <w:rsid w:val="008656E8"/>
    <w:rsid w:val="0086571B"/>
    <w:rsid w:val="008657F3"/>
    <w:rsid w:val="00865CB9"/>
    <w:rsid w:val="00865D33"/>
    <w:rsid w:val="00865D59"/>
    <w:rsid w:val="00866186"/>
    <w:rsid w:val="008664EC"/>
    <w:rsid w:val="008668F6"/>
    <w:rsid w:val="00866E89"/>
    <w:rsid w:val="0086721D"/>
    <w:rsid w:val="00867A6D"/>
    <w:rsid w:val="00870345"/>
    <w:rsid w:val="0087074B"/>
    <w:rsid w:val="00870C22"/>
    <w:rsid w:val="008710B2"/>
    <w:rsid w:val="00871537"/>
    <w:rsid w:val="00871ACF"/>
    <w:rsid w:val="00871D0C"/>
    <w:rsid w:val="00871F5C"/>
    <w:rsid w:val="008721DA"/>
    <w:rsid w:val="0087259A"/>
    <w:rsid w:val="00872A19"/>
    <w:rsid w:val="00872A3D"/>
    <w:rsid w:val="00872C7C"/>
    <w:rsid w:val="008737A5"/>
    <w:rsid w:val="00873836"/>
    <w:rsid w:val="00873E0F"/>
    <w:rsid w:val="00873E6C"/>
    <w:rsid w:val="00873E8E"/>
    <w:rsid w:val="00873F92"/>
    <w:rsid w:val="00874327"/>
    <w:rsid w:val="00874731"/>
    <w:rsid w:val="0087479F"/>
    <w:rsid w:val="00874C92"/>
    <w:rsid w:val="00874DE8"/>
    <w:rsid w:val="0087517E"/>
    <w:rsid w:val="008762FF"/>
    <w:rsid w:val="00876822"/>
    <w:rsid w:val="00876A9F"/>
    <w:rsid w:val="008771AD"/>
    <w:rsid w:val="0087747E"/>
    <w:rsid w:val="00877CD0"/>
    <w:rsid w:val="00880696"/>
    <w:rsid w:val="0088084D"/>
    <w:rsid w:val="00880BC8"/>
    <w:rsid w:val="00881157"/>
    <w:rsid w:val="00881512"/>
    <w:rsid w:val="00881B88"/>
    <w:rsid w:val="0088252D"/>
    <w:rsid w:val="008828EF"/>
    <w:rsid w:val="00882A03"/>
    <w:rsid w:val="008833C1"/>
    <w:rsid w:val="00883532"/>
    <w:rsid w:val="00883628"/>
    <w:rsid w:val="0088368C"/>
    <w:rsid w:val="00884997"/>
    <w:rsid w:val="00884DB2"/>
    <w:rsid w:val="00885009"/>
    <w:rsid w:val="00885450"/>
    <w:rsid w:val="00885553"/>
    <w:rsid w:val="00885737"/>
    <w:rsid w:val="00885974"/>
    <w:rsid w:val="00885C06"/>
    <w:rsid w:val="00885CA7"/>
    <w:rsid w:val="00885E54"/>
    <w:rsid w:val="008862DF"/>
    <w:rsid w:val="0088679A"/>
    <w:rsid w:val="00886814"/>
    <w:rsid w:val="00886C58"/>
    <w:rsid w:val="0088761F"/>
    <w:rsid w:val="00887BD0"/>
    <w:rsid w:val="00887C19"/>
    <w:rsid w:val="008902F5"/>
    <w:rsid w:val="00890650"/>
    <w:rsid w:val="008909B7"/>
    <w:rsid w:val="00890C56"/>
    <w:rsid w:val="00890FA9"/>
    <w:rsid w:val="0089119C"/>
    <w:rsid w:val="008914B5"/>
    <w:rsid w:val="00891731"/>
    <w:rsid w:val="00891AD0"/>
    <w:rsid w:val="00891F36"/>
    <w:rsid w:val="008920FB"/>
    <w:rsid w:val="00892723"/>
    <w:rsid w:val="008927C7"/>
    <w:rsid w:val="00892A41"/>
    <w:rsid w:val="00892C71"/>
    <w:rsid w:val="0089369B"/>
    <w:rsid w:val="00893713"/>
    <w:rsid w:val="008937CE"/>
    <w:rsid w:val="008938E1"/>
    <w:rsid w:val="00893DA3"/>
    <w:rsid w:val="00893DFD"/>
    <w:rsid w:val="00893EF9"/>
    <w:rsid w:val="00894134"/>
    <w:rsid w:val="008943B4"/>
    <w:rsid w:val="00894BAA"/>
    <w:rsid w:val="00894D26"/>
    <w:rsid w:val="00895389"/>
    <w:rsid w:val="00895D38"/>
    <w:rsid w:val="00895FA2"/>
    <w:rsid w:val="00896099"/>
    <w:rsid w:val="008961E1"/>
    <w:rsid w:val="008962C4"/>
    <w:rsid w:val="0089655A"/>
    <w:rsid w:val="00896807"/>
    <w:rsid w:val="00896F65"/>
    <w:rsid w:val="00897145"/>
    <w:rsid w:val="0089759E"/>
    <w:rsid w:val="008978A1"/>
    <w:rsid w:val="00897A10"/>
    <w:rsid w:val="00897B40"/>
    <w:rsid w:val="00897C0D"/>
    <w:rsid w:val="00897C86"/>
    <w:rsid w:val="00897E12"/>
    <w:rsid w:val="008A0437"/>
    <w:rsid w:val="008A0623"/>
    <w:rsid w:val="008A0EC3"/>
    <w:rsid w:val="008A11C5"/>
    <w:rsid w:val="008A21D5"/>
    <w:rsid w:val="008A2501"/>
    <w:rsid w:val="008A25E3"/>
    <w:rsid w:val="008A27CC"/>
    <w:rsid w:val="008A2B89"/>
    <w:rsid w:val="008A2F89"/>
    <w:rsid w:val="008A30E2"/>
    <w:rsid w:val="008A3473"/>
    <w:rsid w:val="008A41EF"/>
    <w:rsid w:val="008A45A4"/>
    <w:rsid w:val="008A4748"/>
    <w:rsid w:val="008A4985"/>
    <w:rsid w:val="008A49F0"/>
    <w:rsid w:val="008A4B90"/>
    <w:rsid w:val="008A5256"/>
    <w:rsid w:val="008A5C86"/>
    <w:rsid w:val="008A5EA2"/>
    <w:rsid w:val="008A633B"/>
    <w:rsid w:val="008A63C6"/>
    <w:rsid w:val="008A68C9"/>
    <w:rsid w:val="008A6B26"/>
    <w:rsid w:val="008A6C80"/>
    <w:rsid w:val="008A6D79"/>
    <w:rsid w:val="008A71DF"/>
    <w:rsid w:val="008A72C5"/>
    <w:rsid w:val="008A72E6"/>
    <w:rsid w:val="008A75D0"/>
    <w:rsid w:val="008A7874"/>
    <w:rsid w:val="008A7E0F"/>
    <w:rsid w:val="008B00E5"/>
    <w:rsid w:val="008B03EC"/>
    <w:rsid w:val="008B08E2"/>
    <w:rsid w:val="008B0C96"/>
    <w:rsid w:val="008B0EF3"/>
    <w:rsid w:val="008B10ED"/>
    <w:rsid w:val="008B12F5"/>
    <w:rsid w:val="008B1402"/>
    <w:rsid w:val="008B192D"/>
    <w:rsid w:val="008B1BBB"/>
    <w:rsid w:val="008B1C8D"/>
    <w:rsid w:val="008B1E57"/>
    <w:rsid w:val="008B20E5"/>
    <w:rsid w:val="008B21E9"/>
    <w:rsid w:val="008B26CE"/>
    <w:rsid w:val="008B2863"/>
    <w:rsid w:val="008B2D49"/>
    <w:rsid w:val="008B2E8C"/>
    <w:rsid w:val="008B31CA"/>
    <w:rsid w:val="008B3941"/>
    <w:rsid w:val="008B3961"/>
    <w:rsid w:val="008B41A1"/>
    <w:rsid w:val="008B426B"/>
    <w:rsid w:val="008B450E"/>
    <w:rsid w:val="008B4B92"/>
    <w:rsid w:val="008B4BC7"/>
    <w:rsid w:val="008B4CCC"/>
    <w:rsid w:val="008B5010"/>
    <w:rsid w:val="008B5196"/>
    <w:rsid w:val="008B5210"/>
    <w:rsid w:val="008B55C7"/>
    <w:rsid w:val="008B59E8"/>
    <w:rsid w:val="008B5A1C"/>
    <w:rsid w:val="008B5ACB"/>
    <w:rsid w:val="008B60FC"/>
    <w:rsid w:val="008B6765"/>
    <w:rsid w:val="008B67FB"/>
    <w:rsid w:val="008B67FC"/>
    <w:rsid w:val="008B6888"/>
    <w:rsid w:val="008B6EC0"/>
    <w:rsid w:val="008B744E"/>
    <w:rsid w:val="008B751D"/>
    <w:rsid w:val="008B7669"/>
    <w:rsid w:val="008B793B"/>
    <w:rsid w:val="008B7C48"/>
    <w:rsid w:val="008B7F49"/>
    <w:rsid w:val="008C0121"/>
    <w:rsid w:val="008C056E"/>
    <w:rsid w:val="008C0928"/>
    <w:rsid w:val="008C0A49"/>
    <w:rsid w:val="008C0C3D"/>
    <w:rsid w:val="008C1A53"/>
    <w:rsid w:val="008C1BB7"/>
    <w:rsid w:val="008C1FE0"/>
    <w:rsid w:val="008C2225"/>
    <w:rsid w:val="008C294B"/>
    <w:rsid w:val="008C2AE9"/>
    <w:rsid w:val="008C3431"/>
    <w:rsid w:val="008C3892"/>
    <w:rsid w:val="008C3C05"/>
    <w:rsid w:val="008C4927"/>
    <w:rsid w:val="008C4928"/>
    <w:rsid w:val="008C5146"/>
    <w:rsid w:val="008C5543"/>
    <w:rsid w:val="008C5B54"/>
    <w:rsid w:val="008C5D8E"/>
    <w:rsid w:val="008C6103"/>
    <w:rsid w:val="008C6414"/>
    <w:rsid w:val="008C6927"/>
    <w:rsid w:val="008C6949"/>
    <w:rsid w:val="008C6EAF"/>
    <w:rsid w:val="008C710F"/>
    <w:rsid w:val="008C74AB"/>
    <w:rsid w:val="008C7D65"/>
    <w:rsid w:val="008C7DB1"/>
    <w:rsid w:val="008D046B"/>
    <w:rsid w:val="008D0EC6"/>
    <w:rsid w:val="008D1157"/>
    <w:rsid w:val="008D1265"/>
    <w:rsid w:val="008D13F5"/>
    <w:rsid w:val="008D15BE"/>
    <w:rsid w:val="008D1A69"/>
    <w:rsid w:val="008D1FC9"/>
    <w:rsid w:val="008D21E0"/>
    <w:rsid w:val="008D21FF"/>
    <w:rsid w:val="008D2A0D"/>
    <w:rsid w:val="008D2A95"/>
    <w:rsid w:val="008D2E8E"/>
    <w:rsid w:val="008D3224"/>
    <w:rsid w:val="008D33B3"/>
    <w:rsid w:val="008D3477"/>
    <w:rsid w:val="008D3AF6"/>
    <w:rsid w:val="008D3FA1"/>
    <w:rsid w:val="008D4062"/>
    <w:rsid w:val="008D43AD"/>
    <w:rsid w:val="008D4432"/>
    <w:rsid w:val="008D4727"/>
    <w:rsid w:val="008D4768"/>
    <w:rsid w:val="008D4C94"/>
    <w:rsid w:val="008D5095"/>
    <w:rsid w:val="008D54E7"/>
    <w:rsid w:val="008D6267"/>
    <w:rsid w:val="008D63DA"/>
    <w:rsid w:val="008D65CF"/>
    <w:rsid w:val="008D68B9"/>
    <w:rsid w:val="008D6B07"/>
    <w:rsid w:val="008D7A7E"/>
    <w:rsid w:val="008E0137"/>
    <w:rsid w:val="008E075C"/>
    <w:rsid w:val="008E07BC"/>
    <w:rsid w:val="008E0960"/>
    <w:rsid w:val="008E0B0A"/>
    <w:rsid w:val="008E11CA"/>
    <w:rsid w:val="008E1471"/>
    <w:rsid w:val="008E1700"/>
    <w:rsid w:val="008E1764"/>
    <w:rsid w:val="008E1940"/>
    <w:rsid w:val="008E1C42"/>
    <w:rsid w:val="008E20A5"/>
    <w:rsid w:val="008E2248"/>
    <w:rsid w:val="008E25ED"/>
    <w:rsid w:val="008E2A39"/>
    <w:rsid w:val="008E2FC3"/>
    <w:rsid w:val="008E3511"/>
    <w:rsid w:val="008E3759"/>
    <w:rsid w:val="008E3B2C"/>
    <w:rsid w:val="008E3EC0"/>
    <w:rsid w:val="008E449B"/>
    <w:rsid w:val="008E50F6"/>
    <w:rsid w:val="008E5415"/>
    <w:rsid w:val="008E5A1F"/>
    <w:rsid w:val="008E5F39"/>
    <w:rsid w:val="008E6171"/>
    <w:rsid w:val="008E69E2"/>
    <w:rsid w:val="008E6A8E"/>
    <w:rsid w:val="008E6E7A"/>
    <w:rsid w:val="008E6E95"/>
    <w:rsid w:val="008E6F74"/>
    <w:rsid w:val="008E7255"/>
    <w:rsid w:val="008E72E7"/>
    <w:rsid w:val="008E75D4"/>
    <w:rsid w:val="008E7E47"/>
    <w:rsid w:val="008F019E"/>
    <w:rsid w:val="008F02C2"/>
    <w:rsid w:val="008F0CBE"/>
    <w:rsid w:val="008F1237"/>
    <w:rsid w:val="008F12CF"/>
    <w:rsid w:val="008F1612"/>
    <w:rsid w:val="008F18E7"/>
    <w:rsid w:val="008F1912"/>
    <w:rsid w:val="008F19CD"/>
    <w:rsid w:val="008F1E69"/>
    <w:rsid w:val="008F1F46"/>
    <w:rsid w:val="008F1F8A"/>
    <w:rsid w:val="008F1FF5"/>
    <w:rsid w:val="008F22D6"/>
    <w:rsid w:val="008F2394"/>
    <w:rsid w:val="008F2478"/>
    <w:rsid w:val="008F25BE"/>
    <w:rsid w:val="008F3479"/>
    <w:rsid w:val="008F3526"/>
    <w:rsid w:val="008F3E0A"/>
    <w:rsid w:val="008F425A"/>
    <w:rsid w:val="008F45C9"/>
    <w:rsid w:val="008F4711"/>
    <w:rsid w:val="008F4C7F"/>
    <w:rsid w:val="008F4EFD"/>
    <w:rsid w:val="008F51B9"/>
    <w:rsid w:val="008F5B40"/>
    <w:rsid w:val="008F5E8B"/>
    <w:rsid w:val="008F5FB3"/>
    <w:rsid w:val="008F6679"/>
    <w:rsid w:val="008F66DC"/>
    <w:rsid w:val="008F696E"/>
    <w:rsid w:val="008F69CB"/>
    <w:rsid w:val="008F707B"/>
    <w:rsid w:val="008F74D7"/>
    <w:rsid w:val="008F7553"/>
    <w:rsid w:val="008F7FA4"/>
    <w:rsid w:val="00900920"/>
    <w:rsid w:val="00900A4B"/>
    <w:rsid w:val="00900AF1"/>
    <w:rsid w:val="009016E2"/>
    <w:rsid w:val="00901A4C"/>
    <w:rsid w:val="00901E07"/>
    <w:rsid w:val="009023CC"/>
    <w:rsid w:val="00902609"/>
    <w:rsid w:val="0090270B"/>
    <w:rsid w:val="00902C7F"/>
    <w:rsid w:val="00902EDB"/>
    <w:rsid w:val="00902F13"/>
    <w:rsid w:val="00902F2B"/>
    <w:rsid w:val="0090300E"/>
    <w:rsid w:val="009032C1"/>
    <w:rsid w:val="00903DB9"/>
    <w:rsid w:val="00903DD0"/>
    <w:rsid w:val="009041DC"/>
    <w:rsid w:val="009042DB"/>
    <w:rsid w:val="00904343"/>
    <w:rsid w:val="00904BD6"/>
    <w:rsid w:val="00904F36"/>
    <w:rsid w:val="00905478"/>
    <w:rsid w:val="0090550F"/>
    <w:rsid w:val="00905C12"/>
    <w:rsid w:val="0090610F"/>
    <w:rsid w:val="00906DAC"/>
    <w:rsid w:val="00906DB0"/>
    <w:rsid w:val="00906E1D"/>
    <w:rsid w:val="00906E40"/>
    <w:rsid w:val="00907063"/>
    <w:rsid w:val="009072E5"/>
    <w:rsid w:val="009074C8"/>
    <w:rsid w:val="009076E8"/>
    <w:rsid w:val="00907F68"/>
    <w:rsid w:val="00910381"/>
    <w:rsid w:val="009105A9"/>
    <w:rsid w:val="0091063B"/>
    <w:rsid w:val="00910C0B"/>
    <w:rsid w:val="00910D7B"/>
    <w:rsid w:val="009111EC"/>
    <w:rsid w:val="009115E7"/>
    <w:rsid w:val="00911823"/>
    <w:rsid w:val="009119A7"/>
    <w:rsid w:val="00911AD8"/>
    <w:rsid w:val="00911C5A"/>
    <w:rsid w:val="00911DA9"/>
    <w:rsid w:val="0091217C"/>
    <w:rsid w:val="009121A0"/>
    <w:rsid w:val="00912B46"/>
    <w:rsid w:val="00912FB7"/>
    <w:rsid w:val="0091348F"/>
    <w:rsid w:val="009137EA"/>
    <w:rsid w:val="00913C7C"/>
    <w:rsid w:val="00913D8D"/>
    <w:rsid w:val="0091441A"/>
    <w:rsid w:val="009147F9"/>
    <w:rsid w:val="009148CF"/>
    <w:rsid w:val="00914ADF"/>
    <w:rsid w:val="00914ECD"/>
    <w:rsid w:val="00915037"/>
    <w:rsid w:val="009154A4"/>
    <w:rsid w:val="009155FB"/>
    <w:rsid w:val="0091583A"/>
    <w:rsid w:val="009158F7"/>
    <w:rsid w:val="00915FF9"/>
    <w:rsid w:val="00916621"/>
    <w:rsid w:val="00916739"/>
    <w:rsid w:val="009169CB"/>
    <w:rsid w:val="00916E0F"/>
    <w:rsid w:val="009177D4"/>
    <w:rsid w:val="00917951"/>
    <w:rsid w:val="009179E9"/>
    <w:rsid w:val="0092041F"/>
    <w:rsid w:val="009206C5"/>
    <w:rsid w:val="00920889"/>
    <w:rsid w:val="00920930"/>
    <w:rsid w:val="009209D4"/>
    <w:rsid w:val="00920A58"/>
    <w:rsid w:val="00920A8C"/>
    <w:rsid w:val="00920AB3"/>
    <w:rsid w:val="00920C3E"/>
    <w:rsid w:val="00921832"/>
    <w:rsid w:val="009219E0"/>
    <w:rsid w:val="00921AB4"/>
    <w:rsid w:val="00921F39"/>
    <w:rsid w:val="00921F55"/>
    <w:rsid w:val="00922964"/>
    <w:rsid w:val="00922D48"/>
    <w:rsid w:val="00922FC4"/>
    <w:rsid w:val="009234DC"/>
    <w:rsid w:val="009238E7"/>
    <w:rsid w:val="00924764"/>
    <w:rsid w:val="00924C64"/>
    <w:rsid w:val="00925367"/>
    <w:rsid w:val="00925A19"/>
    <w:rsid w:val="00926755"/>
    <w:rsid w:val="00926943"/>
    <w:rsid w:val="00926AA0"/>
    <w:rsid w:val="00926BAE"/>
    <w:rsid w:val="00926D4F"/>
    <w:rsid w:val="00927033"/>
    <w:rsid w:val="009271A8"/>
    <w:rsid w:val="00927354"/>
    <w:rsid w:val="009275F3"/>
    <w:rsid w:val="0092784A"/>
    <w:rsid w:val="00927D83"/>
    <w:rsid w:val="00927ED8"/>
    <w:rsid w:val="00930569"/>
    <w:rsid w:val="00930F4D"/>
    <w:rsid w:val="0093120D"/>
    <w:rsid w:val="009316D4"/>
    <w:rsid w:val="009317E2"/>
    <w:rsid w:val="00931D6C"/>
    <w:rsid w:val="00931E9D"/>
    <w:rsid w:val="00932942"/>
    <w:rsid w:val="00932C5D"/>
    <w:rsid w:val="0093313B"/>
    <w:rsid w:val="00933700"/>
    <w:rsid w:val="00933810"/>
    <w:rsid w:val="00933DAD"/>
    <w:rsid w:val="00933EE9"/>
    <w:rsid w:val="00933FCE"/>
    <w:rsid w:val="00934070"/>
    <w:rsid w:val="00934457"/>
    <w:rsid w:val="009348E3"/>
    <w:rsid w:val="00934959"/>
    <w:rsid w:val="009349BE"/>
    <w:rsid w:val="00934A2C"/>
    <w:rsid w:val="00934B4C"/>
    <w:rsid w:val="00934CFF"/>
    <w:rsid w:val="00934DFB"/>
    <w:rsid w:val="00935013"/>
    <w:rsid w:val="0093501B"/>
    <w:rsid w:val="009355D3"/>
    <w:rsid w:val="00935A2B"/>
    <w:rsid w:val="00935CDE"/>
    <w:rsid w:val="009366E0"/>
    <w:rsid w:val="0093685A"/>
    <w:rsid w:val="00936B61"/>
    <w:rsid w:val="00937BCD"/>
    <w:rsid w:val="00940AFA"/>
    <w:rsid w:val="00940DF6"/>
    <w:rsid w:val="00940E69"/>
    <w:rsid w:val="009411A4"/>
    <w:rsid w:val="0094120E"/>
    <w:rsid w:val="009413D3"/>
    <w:rsid w:val="00941659"/>
    <w:rsid w:val="00941EBA"/>
    <w:rsid w:val="009424DA"/>
    <w:rsid w:val="0094275B"/>
    <w:rsid w:val="009429BC"/>
    <w:rsid w:val="00942AFA"/>
    <w:rsid w:val="00942C1C"/>
    <w:rsid w:val="00942EC2"/>
    <w:rsid w:val="00943552"/>
    <w:rsid w:val="0094444C"/>
    <w:rsid w:val="0094464C"/>
    <w:rsid w:val="00944C59"/>
    <w:rsid w:val="00944F05"/>
    <w:rsid w:val="0094547C"/>
    <w:rsid w:val="009459EF"/>
    <w:rsid w:val="00945A76"/>
    <w:rsid w:val="00945C70"/>
    <w:rsid w:val="00945C77"/>
    <w:rsid w:val="00945DD3"/>
    <w:rsid w:val="009463B5"/>
    <w:rsid w:val="0094696E"/>
    <w:rsid w:val="00946B9A"/>
    <w:rsid w:val="00946EFD"/>
    <w:rsid w:val="009470BC"/>
    <w:rsid w:val="00947E15"/>
    <w:rsid w:val="009500D7"/>
    <w:rsid w:val="009502A2"/>
    <w:rsid w:val="009503D9"/>
    <w:rsid w:val="009507D3"/>
    <w:rsid w:val="009508AA"/>
    <w:rsid w:val="00950B7F"/>
    <w:rsid w:val="00950E0E"/>
    <w:rsid w:val="00950EFE"/>
    <w:rsid w:val="00951933"/>
    <w:rsid w:val="00951AE2"/>
    <w:rsid w:val="00951E65"/>
    <w:rsid w:val="00952062"/>
    <w:rsid w:val="009520EF"/>
    <w:rsid w:val="0095229E"/>
    <w:rsid w:val="0095245A"/>
    <w:rsid w:val="00952502"/>
    <w:rsid w:val="0095257D"/>
    <w:rsid w:val="009529DA"/>
    <w:rsid w:val="00952AE7"/>
    <w:rsid w:val="00952EDD"/>
    <w:rsid w:val="00952FD1"/>
    <w:rsid w:val="00953A76"/>
    <w:rsid w:val="0095411D"/>
    <w:rsid w:val="009546E1"/>
    <w:rsid w:val="00954991"/>
    <w:rsid w:val="00954C30"/>
    <w:rsid w:val="00954DFF"/>
    <w:rsid w:val="009552C9"/>
    <w:rsid w:val="009556DC"/>
    <w:rsid w:val="00955814"/>
    <w:rsid w:val="00955960"/>
    <w:rsid w:val="00955AA1"/>
    <w:rsid w:val="009567A7"/>
    <w:rsid w:val="00956842"/>
    <w:rsid w:val="0095700E"/>
    <w:rsid w:val="00957AEE"/>
    <w:rsid w:val="00957B4A"/>
    <w:rsid w:val="00957E2C"/>
    <w:rsid w:val="00957F02"/>
    <w:rsid w:val="0096022A"/>
    <w:rsid w:val="00960AF4"/>
    <w:rsid w:val="009610C2"/>
    <w:rsid w:val="00961148"/>
    <w:rsid w:val="00961AAB"/>
    <w:rsid w:val="00961AE8"/>
    <w:rsid w:val="0096203E"/>
    <w:rsid w:val="00962A16"/>
    <w:rsid w:val="009633DE"/>
    <w:rsid w:val="009633F4"/>
    <w:rsid w:val="0096395A"/>
    <w:rsid w:val="00964BBE"/>
    <w:rsid w:val="00964E61"/>
    <w:rsid w:val="00964FF0"/>
    <w:rsid w:val="00965364"/>
    <w:rsid w:val="00965692"/>
    <w:rsid w:val="00965FF1"/>
    <w:rsid w:val="009661AF"/>
    <w:rsid w:val="0096646F"/>
    <w:rsid w:val="00966665"/>
    <w:rsid w:val="009666D9"/>
    <w:rsid w:val="0096697A"/>
    <w:rsid w:val="00966BE2"/>
    <w:rsid w:val="00967024"/>
    <w:rsid w:val="00967045"/>
    <w:rsid w:val="0096706E"/>
    <w:rsid w:val="009672CB"/>
    <w:rsid w:val="009673BF"/>
    <w:rsid w:val="00967DAD"/>
    <w:rsid w:val="00970B4C"/>
    <w:rsid w:val="00970B97"/>
    <w:rsid w:val="009711EE"/>
    <w:rsid w:val="009712C6"/>
    <w:rsid w:val="00971902"/>
    <w:rsid w:val="009719FA"/>
    <w:rsid w:val="00971ADF"/>
    <w:rsid w:val="00972061"/>
    <w:rsid w:val="00972540"/>
    <w:rsid w:val="00972BF1"/>
    <w:rsid w:val="00972CBA"/>
    <w:rsid w:val="00972DE0"/>
    <w:rsid w:val="00972E9F"/>
    <w:rsid w:val="00973118"/>
    <w:rsid w:val="009736A2"/>
    <w:rsid w:val="009737B0"/>
    <w:rsid w:val="00973E7C"/>
    <w:rsid w:val="00974482"/>
    <w:rsid w:val="00974685"/>
    <w:rsid w:val="00974C38"/>
    <w:rsid w:val="00974EC9"/>
    <w:rsid w:val="00975184"/>
    <w:rsid w:val="0097544B"/>
    <w:rsid w:val="00975A4E"/>
    <w:rsid w:val="00975C4E"/>
    <w:rsid w:val="00975D3B"/>
    <w:rsid w:val="00975E4C"/>
    <w:rsid w:val="00975F13"/>
    <w:rsid w:val="00976577"/>
    <w:rsid w:val="00976633"/>
    <w:rsid w:val="00976742"/>
    <w:rsid w:val="00976CBA"/>
    <w:rsid w:val="00976CCE"/>
    <w:rsid w:val="009772CA"/>
    <w:rsid w:val="0097742E"/>
    <w:rsid w:val="00977594"/>
    <w:rsid w:val="00977AE2"/>
    <w:rsid w:val="00977B1C"/>
    <w:rsid w:val="00977F70"/>
    <w:rsid w:val="009805DC"/>
    <w:rsid w:val="00980B7F"/>
    <w:rsid w:val="00980E04"/>
    <w:rsid w:val="00980EDD"/>
    <w:rsid w:val="00981174"/>
    <w:rsid w:val="00981A32"/>
    <w:rsid w:val="00981E2F"/>
    <w:rsid w:val="00981FBA"/>
    <w:rsid w:val="009821A0"/>
    <w:rsid w:val="0098225D"/>
    <w:rsid w:val="009827F4"/>
    <w:rsid w:val="00982A48"/>
    <w:rsid w:val="00982BBB"/>
    <w:rsid w:val="00982C0F"/>
    <w:rsid w:val="00982DA4"/>
    <w:rsid w:val="0098338E"/>
    <w:rsid w:val="00983EFD"/>
    <w:rsid w:val="00984198"/>
    <w:rsid w:val="009847F7"/>
    <w:rsid w:val="00984E1B"/>
    <w:rsid w:val="00985199"/>
    <w:rsid w:val="009851CF"/>
    <w:rsid w:val="009853D7"/>
    <w:rsid w:val="00985B24"/>
    <w:rsid w:val="00985C1C"/>
    <w:rsid w:val="00985D12"/>
    <w:rsid w:val="00986095"/>
    <w:rsid w:val="00986489"/>
    <w:rsid w:val="009865B3"/>
    <w:rsid w:val="009867A2"/>
    <w:rsid w:val="00986E88"/>
    <w:rsid w:val="00987465"/>
    <w:rsid w:val="00987846"/>
    <w:rsid w:val="00987D95"/>
    <w:rsid w:val="00987F72"/>
    <w:rsid w:val="009901A9"/>
    <w:rsid w:val="0099057A"/>
    <w:rsid w:val="009907F7"/>
    <w:rsid w:val="00990CE5"/>
    <w:rsid w:val="00991017"/>
    <w:rsid w:val="0099106A"/>
    <w:rsid w:val="009910E7"/>
    <w:rsid w:val="00991432"/>
    <w:rsid w:val="00991613"/>
    <w:rsid w:val="00991BFF"/>
    <w:rsid w:val="00991CC6"/>
    <w:rsid w:val="00991EC9"/>
    <w:rsid w:val="00992087"/>
    <w:rsid w:val="009922A2"/>
    <w:rsid w:val="009923C4"/>
    <w:rsid w:val="00992497"/>
    <w:rsid w:val="009927B2"/>
    <w:rsid w:val="00992DBC"/>
    <w:rsid w:val="00992F83"/>
    <w:rsid w:val="0099354C"/>
    <w:rsid w:val="00993574"/>
    <w:rsid w:val="009937D9"/>
    <w:rsid w:val="00993851"/>
    <w:rsid w:val="00993864"/>
    <w:rsid w:val="00993A51"/>
    <w:rsid w:val="0099465A"/>
    <w:rsid w:val="009946A6"/>
    <w:rsid w:val="00995022"/>
    <w:rsid w:val="009954A2"/>
    <w:rsid w:val="009957F8"/>
    <w:rsid w:val="00995985"/>
    <w:rsid w:val="009959A1"/>
    <w:rsid w:val="009959C9"/>
    <w:rsid w:val="00995B97"/>
    <w:rsid w:val="00995EDC"/>
    <w:rsid w:val="0099633B"/>
    <w:rsid w:val="00996486"/>
    <w:rsid w:val="00997BC5"/>
    <w:rsid w:val="00997F87"/>
    <w:rsid w:val="00997FDB"/>
    <w:rsid w:val="009A0323"/>
    <w:rsid w:val="009A03A9"/>
    <w:rsid w:val="009A092B"/>
    <w:rsid w:val="009A0E6B"/>
    <w:rsid w:val="009A19DA"/>
    <w:rsid w:val="009A1ABF"/>
    <w:rsid w:val="009A1B4C"/>
    <w:rsid w:val="009A1C21"/>
    <w:rsid w:val="009A22C5"/>
    <w:rsid w:val="009A2539"/>
    <w:rsid w:val="009A25F6"/>
    <w:rsid w:val="009A2F27"/>
    <w:rsid w:val="009A30F6"/>
    <w:rsid w:val="009A328C"/>
    <w:rsid w:val="009A3DB8"/>
    <w:rsid w:val="009A4040"/>
    <w:rsid w:val="009A4AD3"/>
    <w:rsid w:val="009A4AE5"/>
    <w:rsid w:val="009A4B37"/>
    <w:rsid w:val="009A4D7E"/>
    <w:rsid w:val="009A4EC8"/>
    <w:rsid w:val="009A4F41"/>
    <w:rsid w:val="009A5295"/>
    <w:rsid w:val="009A5646"/>
    <w:rsid w:val="009A56F1"/>
    <w:rsid w:val="009A585B"/>
    <w:rsid w:val="009A607F"/>
    <w:rsid w:val="009A6186"/>
    <w:rsid w:val="009A640E"/>
    <w:rsid w:val="009A6866"/>
    <w:rsid w:val="009A69A0"/>
    <w:rsid w:val="009A6DA6"/>
    <w:rsid w:val="009A738A"/>
    <w:rsid w:val="009A7A66"/>
    <w:rsid w:val="009A7DF4"/>
    <w:rsid w:val="009B01B2"/>
    <w:rsid w:val="009B02F7"/>
    <w:rsid w:val="009B046F"/>
    <w:rsid w:val="009B0CD6"/>
    <w:rsid w:val="009B0F26"/>
    <w:rsid w:val="009B120B"/>
    <w:rsid w:val="009B13D5"/>
    <w:rsid w:val="009B1688"/>
    <w:rsid w:val="009B2454"/>
    <w:rsid w:val="009B2623"/>
    <w:rsid w:val="009B2830"/>
    <w:rsid w:val="009B3386"/>
    <w:rsid w:val="009B342D"/>
    <w:rsid w:val="009B34FA"/>
    <w:rsid w:val="009B3595"/>
    <w:rsid w:val="009B381A"/>
    <w:rsid w:val="009B381B"/>
    <w:rsid w:val="009B3B35"/>
    <w:rsid w:val="009B3FE8"/>
    <w:rsid w:val="009B4027"/>
    <w:rsid w:val="009B4685"/>
    <w:rsid w:val="009B4994"/>
    <w:rsid w:val="009B4CA0"/>
    <w:rsid w:val="009B50A1"/>
    <w:rsid w:val="009B52CE"/>
    <w:rsid w:val="009B53F0"/>
    <w:rsid w:val="009B5EF1"/>
    <w:rsid w:val="009B6281"/>
    <w:rsid w:val="009B62CA"/>
    <w:rsid w:val="009B6461"/>
    <w:rsid w:val="009B64BA"/>
    <w:rsid w:val="009B6585"/>
    <w:rsid w:val="009B6919"/>
    <w:rsid w:val="009B69E8"/>
    <w:rsid w:val="009B7119"/>
    <w:rsid w:val="009B7333"/>
    <w:rsid w:val="009B7C38"/>
    <w:rsid w:val="009B7C50"/>
    <w:rsid w:val="009B7D05"/>
    <w:rsid w:val="009C04E8"/>
    <w:rsid w:val="009C0618"/>
    <w:rsid w:val="009C0B42"/>
    <w:rsid w:val="009C0C08"/>
    <w:rsid w:val="009C0C46"/>
    <w:rsid w:val="009C121B"/>
    <w:rsid w:val="009C1664"/>
    <w:rsid w:val="009C176D"/>
    <w:rsid w:val="009C1890"/>
    <w:rsid w:val="009C1C1B"/>
    <w:rsid w:val="009C23B6"/>
    <w:rsid w:val="009C244A"/>
    <w:rsid w:val="009C265F"/>
    <w:rsid w:val="009C2D00"/>
    <w:rsid w:val="009C3942"/>
    <w:rsid w:val="009C3BA8"/>
    <w:rsid w:val="009C3C4B"/>
    <w:rsid w:val="009C3CC1"/>
    <w:rsid w:val="009C3D85"/>
    <w:rsid w:val="009C4229"/>
    <w:rsid w:val="009C44EC"/>
    <w:rsid w:val="009C475A"/>
    <w:rsid w:val="009C48CD"/>
    <w:rsid w:val="009C4C5F"/>
    <w:rsid w:val="009C545F"/>
    <w:rsid w:val="009C54CA"/>
    <w:rsid w:val="009C600C"/>
    <w:rsid w:val="009C6489"/>
    <w:rsid w:val="009C6760"/>
    <w:rsid w:val="009C6A0D"/>
    <w:rsid w:val="009C6D3D"/>
    <w:rsid w:val="009C6F5F"/>
    <w:rsid w:val="009C74A3"/>
    <w:rsid w:val="009C777D"/>
    <w:rsid w:val="009C7839"/>
    <w:rsid w:val="009C7AEB"/>
    <w:rsid w:val="009C7BAA"/>
    <w:rsid w:val="009C7D64"/>
    <w:rsid w:val="009C7EA2"/>
    <w:rsid w:val="009C7F63"/>
    <w:rsid w:val="009D05C6"/>
    <w:rsid w:val="009D084E"/>
    <w:rsid w:val="009D1387"/>
    <w:rsid w:val="009D1822"/>
    <w:rsid w:val="009D1A08"/>
    <w:rsid w:val="009D21A7"/>
    <w:rsid w:val="009D230B"/>
    <w:rsid w:val="009D2ECA"/>
    <w:rsid w:val="009D33B2"/>
    <w:rsid w:val="009D383D"/>
    <w:rsid w:val="009D38F5"/>
    <w:rsid w:val="009D3A41"/>
    <w:rsid w:val="009D3EF3"/>
    <w:rsid w:val="009D40A8"/>
    <w:rsid w:val="009D42E6"/>
    <w:rsid w:val="009D5933"/>
    <w:rsid w:val="009D595A"/>
    <w:rsid w:val="009D5F93"/>
    <w:rsid w:val="009D6B77"/>
    <w:rsid w:val="009D6E78"/>
    <w:rsid w:val="009D74D7"/>
    <w:rsid w:val="009D7611"/>
    <w:rsid w:val="009E0B61"/>
    <w:rsid w:val="009E0B84"/>
    <w:rsid w:val="009E12CB"/>
    <w:rsid w:val="009E13FC"/>
    <w:rsid w:val="009E1BAF"/>
    <w:rsid w:val="009E21ED"/>
    <w:rsid w:val="009E2387"/>
    <w:rsid w:val="009E29E2"/>
    <w:rsid w:val="009E3012"/>
    <w:rsid w:val="009E3199"/>
    <w:rsid w:val="009E45CB"/>
    <w:rsid w:val="009E48AB"/>
    <w:rsid w:val="009E4975"/>
    <w:rsid w:val="009E4E45"/>
    <w:rsid w:val="009E4E91"/>
    <w:rsid w:val="009E50CA"/>
    <w:rsid w:val="009E53DE"/>
    <w:rsid w:val="009E5525"/>
    <w:rsid w:val="009E5577"/>
    <w:rsid w:val="009E55C9"/>
    <w:rsid w:val="009E58B4"/>
    <w:rsid w:val="009E5B14"/>
    <w:rsid w:val="009E5DD1"/>
    <w:rsid w:val="009E5FE1"/>
    <w:rsid w:val="009E62FB"/>
    <w:rsid w:val="009E6362"/>
    <w:rsid w:val="009E63A1"/>
    <w:rsid w:val="009E6937"/>
    <w:rsid w:val="009E695C"/>
    <w:rsid w:val="009E6C3E"/>
    <w:rsid w:val="009E6CC1"/>
    <w:rsid w:val="009E79F2"/>
    <w:rsid w:val="009E7C0B"/>
    <w:rsid w:val="009E7E3B"/>
    <w:rsid w:val="009F0505"/>
    <w:rsid w:val="009F08F6"/>
    <w:rsid w:val="009F0DD7"/>
    <w:rsid w:val="009F0ED2"/>
    <w:rsid w:val="009F0F1C"/>
    <w:rsid w:val="009F0F41"/>
    <w:rsid w:val="009F1026"/>
    <w:rsid w:val="009F1235"/>
    <w:rsid w:val="009F156C"/>
    <w:rsid w:val="009F19B5"/>
    <w:rsid w:val="009F1D4D"/>
    <w:rsid w:val="009F20B4"/>
    <w:rsid w:val="009F2AF7"/>
    <w:rsid w:val="009F2C05"/>
    <w:rsid w:val="009F2EF7"/>
    <w:rsid w:val="009F32C6"/>
    <w:rsid w:val="009F33BF"/>
    <w:rsid w:val="009F3CAF"/>
    <w:rsid w:val="009F40AE"/>
    <w:rsid w:val="009F4735"/>
    <w:rsid w:val="009F4EFC"/>
    <w:rsid w:val="009F50F4"/>
    <w:rsid w:val="009F51B6"/>
    <w:rsid w:val="009F5402"/>
    <w:rsid w:val="009F54CB"/>
    <w:rsid w:val="009F6313"/>
    <w:rsid w:val="009F6409"/>
    <w:rsid w:val="009F6745"/>
    <w:rsid w:val="009F6C1A"/>
    <w:rsid w:val="009F6CD8"/>
    <w:rsid w:val="009F72BB"/>
    <w:rsid w:val="009F7549"/>
    <w:rsid w:val="009F7C21"/>
    <w:rsid w:val="00A00055"/>
    <w:rsid w:val="00A00B1C"/>
    <w:rsid w:val="00A00BFD"/>
    <w:rsid w:val="00A0131C"/>
    <w:rsid w:val="00A01C60"/>
    <w:rsid w:val="00A01D16"/>
    <w:rsid w:val="00A01E78"/>
    <w:rsid w:val="00A025AC"/>
    <w:rsid w:val="00A027FA"/>
    <w:rsid w:val="00A03051"/>
    <w:rsid w:val="00A03143"/>
    <w:rsid w:val="00A0334E"/>
    <w:rsid w:val="00A033C9"/>
    <w:rsid w:val="00A033DA"/>
    <w:rsid w:val="00A03B41"/>
    <w:rsid w:val="00A04AF7"/>
    <w:rsid w:val="00A052AC"/>
    <w:rsid w:val="00A05477"/>
    <w:rsid w:val="00A05AC1"/>
    <w:rsid w:val="00A05DBE"/>
    <w:rsid w:val="00A0623D"/>
    <w:rsid w:val="00A06B30"/>
    <w:rsid w:val="00A06E28"/>
    <w:rsid w:val="00A06F16"/>
    <w:rsid w:val="00A070F3"/>
    <w:rsid w:val="00A072D4"/>
    <w:rsid w:val="00A07646"/>
    <w:rsid w:val="00A07AF5"/>
    <w:rsid w:val="00A07C4A"/>
    <w:rsid w:val="00A07E5F"/>
    <w:rsid w:val="00A07FF1"/>
    <w:rsid w:val="00A104DF"/>
    <w:rsid w:val="00A1073E"/>
    <w:rsid w:val="00A10A00"/>
    <w:rsid w:val="00A10BE2"/>
    <w:rsid w:val="00A10E6B"/>
    <w:rsid w:val="00A1140C"/>
    <w:rsid w:val="00A1170C"/>
    <w:rsid w:val="00A11ADA"/>
    <w:rsid w:val="00A11AE1"/>
    <w:rsid w:val="00A11E23"/>
    <w:rsid w:val="00A11F33"/>
    <w:rsid w:val="00A12867"/>
    <w:rsid w:val="00A129F4"/>
    <w:rsid w:val="00A12F23"/>
    <w:rsid w:val="00A13149"/>
    <w:rsid w:val="00A1346B"/>
    <w:rsid w:val="00A13596"/>
    <w:rsid w:val="00A13654"/>
    <w:rsid w:val="00A13976"/>
    <w:rsid w:val="00A139B1"/>
    <w:rsid w:val="00A13D36"/>
    <w:rsid w:val="00A1427C"/>
    <w:rsid w:val="00A14422"/>
    <w:rsid w:val="00A15531"/>
    <w:rsid w:val="00A15BCA"/>
    <w:rsid w:val="00A160DA"/>
    <w:rsid w:val="00A16B1B"/>
    <w:rsid w:val="00A16D37"/>
    <w:rsid w:val="00A17003"/>
    <w:rsid w:val="00A17685"/>
    <w:rsid w:val="00A178DD"/>
    <w:rsid w:val="00A17C26"/>
    <w:rsid w:val="00A20048"/>
    <w:rsid w:val="00A20353"/>
    <w:rsid w:val="00A20460"/>
    <w:rsid w:val="00A20DBC"/>
    <w:rsid w:val="00A211D2"/>
    <w:rsid w:val="00A219A8"/>
    <w:rsid w:val="00A21A95"/>
    <w:rsid w:val="00A21B9A"/>
    <w:rsid w:val="00A21C54"/>
    <w:rsid w:val="00A22014"/>
    <w:rsid w:val="00A2220D"/>
    <w:rsid w:val="00A22973"/>
    <w:rsid w:val="00A23138"/>
    <w:rsid w:val="00A231BB"/>
    <w:rsid w:val="00A231C0"/>
    <w:rsid w:val="00A236D6"/>
    <w:rsid w:val="00A2380B"/>
    <w:rsid w:val="00A23D7A"/>
    <w:rsid w:val="00A24801"/>
    <w:rsid w:val="00A24E67"/>
    <w:rsid w:val="00A25072"/>
    <w:rsid w:val="00A2510D"/>
    <w:rsid w:val="00A2546A"/>
    <w:rsid w:val="00A2556A"/>
    <w:rsid w:val="00A25621"/>
    <w:rsid w:val="00A25E38"/>
    <w:rsid w:val="00A26681"/>
    <w:rsid w:val="00A26E51"/>
    <w:rsid w:val="00A26F8A"/>
    <w:rsid w:val="00A2742D"/>
    <w:rsid w:val="00A27D5F"/>
    <w:rsid w:val="00A27E84"/>
    <w:rsid w:val="00A3090A"/>
    <w:rsid w:val="00A30A66"/>
    <w:rsid w:val="00A30CA1"/>
    <w:rsid w:val="00A30DA9"/>
    <w:rsid w:val="00A31632"/>
    <w:rsid w:val="00A318BC"/>
    <w:rsid w:val="00A3207B"/>
    <w:rsid w:val="00A321D3"/>
    <w:rsid w:val="00A322CA"/>
    <w:rsid w:val="00A328B3"/>
    <w:rsid w:val="00A32EB4"/>
    <w:rsid w:val="00A32F4A"/>
    <w:rsid w:val="00A33729"/>
    <w:rsid w:val="00A33976"/>
    <w:rsid w:val="00A339A3"/>
    <w:rsid w:val="00A33F2C"/>
    <w:rsid w:val="00A33F57"/>
    <w:rsid w:val="00A344B3"/>
    <w:rsid w:val="00A34625"/>
    <w:rsid w:val="00A34A7E"/>
    <w:rsid w:val="00A357AB"/>
    <w:rsid w:val="00A357FF"/>
    <w:rsid w:val="00A35B52"/>
    <w:rsid w:val="00A35CBB"/>
    <w:rsid w:val="00A3607C"/>
    <w:rsid w:val="00A36098"/>
    <w:rsid w:val="00A36165"/>
    <w:rsid w:val="00A36289"/>
    <w:rsid w:val="00A36B39"/>
    <w:rsid w:val="00A36B9D"/>
    <w:rsid w:val="00A36D42"/>
    <w:rsid w:val="00A379F0"/>
    <w:rsid w:val="00A379F5"/>
    <w:rsid w:val="00A37B16"/>
    <w:rsid w:val="00A37C84"/>
    <w:rsid w:val="00A37FE6"/>
    <w:rsid w:val="00A405E8"/>
    <w:rsid w:val="00A40EE9"/>
    <w:rsid w:val="00A411BD"/>
    <w:rsid w:val="00A41213"/>
    <w:rsid w:val="00A41959"/>
    <w:rsid w:val="00A41C72"/>
    <w:rsid w:val="00A424EE"/>
    <w:rsid w:val="00A426BF"/>
    <w:rsid w:val="00A427A2"/>
    <w:rsid w:val="00A42CF6"/>
    <w:rsid w:val="00A42D88"/>
    <w:rsid w:val="00A42DB5"/>
    <w:rsid w:val="00A430F9"/>
    <w:rsid w:val="00A43282"/>
    <w:rsid w:val="00A43286"/>
    <w:rsid w:val="00A43843"/>
    <w:rsid w:val="00A43D5D"/>
    <w:rsid w:val="00A43ED6"/>
    <w:rsid w:val="00A44165"/>
    <w:rsid w:val="00A443E5"/>
    <w:rsid w:val="00A4449E"/>
    <w:rsid w:val="00A4583D"/>
    <w:rsid w:val="00A458BB"/>
    <w:rsid w:val="00A45C15"/>
    <w:rsid w:val="00A45D58"/>
    <w:rsid w:val="00A46904"/>
    <w:rsid w:val="00A46981"/>
    <w:rsid w:val="00A469C1"/>
    <w:rsid w:val="00A46BA2"/>
    <w:rsid w:val="00A46D04"/>
    <w:rsid w:val="00A46FDF"/>
    <w:rsid w:val="00A4737C"/>
    <w:rsid w:val="00A477D3"/>
    <w:rsid w:val="00A47911"/>
    <w:rsid w:val="00A47C0D"/>
    <w:rsid w:val="00A47C5B"/>
    <w:rsid w:val="00A503DE"/>
    <w:rsid w:val="00A508E5"/>
    <w:rsid w:val="00A509E2"/>
    <w:rsid w:val="00A50A63"/>
    <w:rsid w:val="00A50B61"/>
    <w:rsid w:val="00A50B7B"/>
    <w:rsid w:val="00A50D2D"/>
    <w:rsid w:val="00A50F2F"/>
    <w:rsid w:val="00A50FCF"/>
    <w:rsid w:val="00A51036"/>
    <w:rsid w:val="00A512A5"/>
    <w:rsid w:val="00A51744"/>
    <w:rsid w:val="00A523E7"/>
    <w:rsid w:val="00A528D1"/>
    <w:rsid w:val="00A52A4A"/>
    <w:rsid w:val="00A52D34"/>
    <w:rsid w:val="00A5335B"/>
    <w:rsid w:val="00A5337B"/>
    <w:rsid w:val="00A53982"/>
    <w:rsid w:val="00A53D16"/>
    <w:rsid w:val="00A53FBB"/>
    <w:rsid w:val="00A54597"/>
    <w:rsid w:val="00A54AB9"/>
    <w:rsid w:val="00A550B7"/>
    <w:rsid w:val="00A551AD"/>
    <w:rsid w:val="00A55219"/>
    <w:rsid w:val="00A55B8D"/>
    <w:rsid w:val="00A55C7B"/>
    <w:rsid w:val="00A55D0D"/>
    <w:rsid w:val="00A55EEF"/>
    <w:rsid w:val="00A57053"/>
    <w:rsid w:val="00A57F82"/>
    <w:rsid w:val="00A60593"/>
    <w:rsid w:val="00A60715"/>
    <w:rsid w:val="00A60DF4"/>
    <w:rsid w:val="00A610CD"/>
    <w:rsid w:val="00A61AE0"/>
    <w:rsid w:val="00A61F90"/>
    <w:rsid w:val="00A62094"/>
    <w:rsid w:val="00A6209A"/>
    <w:rsid w:val="00A62487"/>
    <w:rsid w:val="00A62B85"/>
    <w:rsid w:val="00A62CF1"/>
    <w:rsid w:val="00A63437"/>
    <w:rsid w:val="00A635E2"/>
    <w:rsid w:val="00A637C7"/>
    <w:rsid w:val="00A640EF"/>
    <w:rsid w:val="00A64A93"/>
    <w:rsid w:val="00A65066"/>
    <w:rsid w:val="00A65569"/>
    <w:rsid w:val="00A65638"/>
    <w:rsid w:val="00A658E1"/>
    <w:rsid w:val="00A65AC3"/>
    <w:rsid w:val="00A65F4D"/>
    <w:rsid w:val="00A66363"/>
    <w:rsid w:val="00A666C4"/>
    <w:rsid w:val="00A669F7"/>
    <w:rsid w:val="00A66A0A"/>
    <w:rsid w:val="00A66F3A"/>
    <w:rsid w:val="00A67020"/>
    <w:rsid w:val="00A671A3"/>
    <w:rsid w:val="00A67360"/>
    <w:rsid w:val="00A678CE"/>
    <w:rsid w:val="00A67FD8"/>
    <w:rsid w:val="00A706D2"/>
    <w:rsid w:val="00A7105A"/>
    <w:rsid w:val="00A7132D"/>
    <w:rsid w:val="00A7190E"/>
    <w:rsid w:val="00A71B59"/>
    <w:rsid w:val="00A72174"/>
    <w:rsid w:val="00A7230A"/>
    <w:rsid w:val="00A72957"/>
    <w:rsid w:val="00A72EDD"/>
    <w:rsid w:val="00A731BF"/>
    <w:rsid w:val="00A73892"/>
    <w:rsid w:val="00A73B2E"/>
    <w:rsid w:val="00A73B7E"/>
    <w:rsid w:val="00A7401D"/>
    <w:rsid w:val="00A7407B"/>
    <w:rsid w:val="00A7408E"/>
    <w:rsid w:val="00A740B9"/>
    <w:rsid w:val="00A74A27"/>
    <w:rsid w:val="00A757DB"/>
    <w:rsid w:val="00A757F2"/>
    <w:rsid w:val="00A75A9C"/>
    <w:rsid w:val="00A75B29"/>
    <w:rsid w:val="00A76794"/>
    <w:rsid w:val="00A76DB5"/>
    <w:rsid w:val="00A77001"/>
    <w:rsid w:val="00A770F7"/>
    <w:rsid w:val="00A77576"/>
    <w:rsid w:val="00A77801"/>
    <w:rsid w:val="00A804C0"/>
    <w:rsid w:val="00A80A6B"/>
    <w:rsid w:val="00A80D36"/>
    <w:rsid w:val="00A817B6"/>
    <w:rsid w:val="00A81D4D"/>
    <w:rsid w:val="00A81E6D"/>
    <w:rsid w:val="00A82364"/>
    <w:rsid w:val="00A82517"/>
    <w:rsid w:val="00A825A1"/>
    <w:rsid w:val="00A82EA7"/>
    <w:rsid w:val="00A83555"/>
    <w:rsid w:val="00A83678"/>
    <w:rsid w:val="00A837F7"/>
    <w:rsid w:val="00A8380C"/>
    <w:rsid w:val="00A83D29"/>
    <w:rsid w:val="00A83D2C"/>
    <w:rsid w:val="00A84096"/>
    <w:rsid w:val="00A842A0"/>
    <w:rsid w:val="00A84403"/>
    <w:rsid w:val="00A849C5"/>
    <w:rsid w:val="00A84A29"/>
    <w:rsid w:val="00A84D3B"/>
    <w:rsid w:val="00A84EEE"/>
    <w:rsid w:val="00A85477"/>
    <w:rsid w:val="00A85714"/>
    <w:rsid w:val="00A859F8"/>
    <w:rsid w:val="00A85C23"/>
    <w:rsid w:val="00A85F99"/>
    <w:rsid w:val="00A862F8"/>
    <w:rsid w:val="00A86548"/>
    <w:rsid w:val="00A8656B"/>
    <w:rsid w:val="00A866D0"/>
    <w:rsid w:val="00A86937"/>
    <w:rsid w:val="00A86D00"/>
    <w:rsid w:val="00A87156"/>
    <w:rsid w:val="00A87652"/>
    <w:rsid w:val="00A87819"/>
    <w:rsid w:val="00A9097D"/>
    <w:rsid w:val="00A90A31"/>
    <w:rsid w:val="00A90B35"/>
    <w:rsid w:val="00A912E1"/>
    <w:rsid w:val="00A912F8"/>
    <w:rsid w:val="00A91484"/>
    <w:rsid w:val="00A918C1"/>
    <w:rsid w:val="00A91B9E"/>
    <w:rsid w:val="00A9258C"/>
    <w:rsid w:val="00A92B2D"/>
    <w:rsid w:val="00A92D19"/>
    <w:rsid w:val="00A930A2"/>
    <w:rsid w:val="00A93138"/>
    <w:rsid w:val="00A93522"/>
    <w:rsid w:val="00A9366F"/>
    <w:rsid w:val="00A93F13"/>
    <w:rsid w:val="00A93F39"/>
    <w:rsid w:val="00A94080"/>
    <w:rsid w:val="00A943B4"/>
    <w:rsid w:val="00A94BB6"/>
    <w:rsid w:val="00A94E0E"/>
    <w:rsid w:val="00A9538F"/>
    <w:rsid w:val="00A95457"/>
    <w:rsid w:val="00A95535"/>
    <w:rsid w:val="00A95B5A"/>
    <w:rsid w:val="00A95C36"/>
    <w:rsid w:val="00A95C6E"/>
    <w:rsid w:val="00A95CBB"/>
    <w:rsid w:val="00A96001"/>
    <w:rsid w:val="00A972D1"/>
    <w:rsid w:val="00A978BF"/>
    <w:rsid w:val="00A97B33"/>
    <w:rsid w:val="00A97BA9"/>
    <w:rsid w:val="00A97FB6"/>
    <w:rsid w:val="00AA0751"/>
    <w:rsid w:val="00AA08BA"/>
    <w:rsid w:val="00AA09A2"/>
    <w:rsid w:val="00AA09B7"/>
    <w:rsid w:val="00AA1294"/>
    <w:rsid w:val="00AA18B0"/>
    <w:rsid w:val="00AA26F7"/>
    <w:rsid w:val="00AA299D"/>
    <w:rsid w:val="00AA2C77"/>
    <w:rsid w:val="00AA2DB7"/>
    <w:rsid w:val="00AA32A7"/>
    <w:rsid w:val="00AA3666"/>
    <w:rsid w:val="00AA380B"/>
    <w:rsid w:val="00AA3CC3"/>
    <w:rsid w:val="00AA3DE2"/>
    <w:rsid w:val="00AA3DF8"/>
    <w:rsid w:val="00AA3E49"/>
    <w:rsid w:val="00AA42C4"/>
    <w:rsid w:val="00AA4463"/>
    <w:rsid w:val="00AA51E1"/>
    <w:rsid w:val="00AA556F"/>
    <w:rsid w:val="00AA56D0"/>
    <w:rsid w:val="00AA5754"/>
    <w:rsid w:val="00AA59DB"/>
    <w:rsid w:val="00AA61E8"/>
    <w:rsid w:val="00AA6214"/>
    <w:rsid w:val="00AA64DD"/>
    <w:rsid w:val="00AA652D"/>
    <w:rsid w:val="00AA6A40"/>
    <w:rsid w:val="00AA78EE"/>
    <w:rsid w:val="00AA7937"/>
    <w:rsid w:val="00AA7D06"/>
    <w:rsid w:val="00AA7DEB"/>
    <w:rsid w:val="00AB00C5"/>
    <w:rsid w:val="00AB0351"/>
    <w:rsid w:val="00AB0512"/>
    <w:rsid w:val="00AB0C45"/>
    <w:rsid w:val="00AB1190"/>
    <w:rsid w:val="00AB12CD"/>
    <w:rsid w:val="00AB1501"/>
    <w:rsid w:val="00AB15C9"/>
    <w:rsid w:val="00AB184F"/>
    <w:rsid w:val="00AB1A87"/>
    <w:rsid w:val="00AB1B78"/>
    <w:rsid w:val="00AB1C07"/>
    <w:rsid w:val="00AB1D5F"/>
    <w:rsid w:val="00AB1DE7"/>
    <w:rsid w:val="00AB21D6"/>
    <w:rsid w:val="00AB259A"/>
    <w:rsid w:val="00AB2716"/>
    <w:rsid w:val="00AB2F76"/>
    <w:rsid w:val="00AB3046"/>
    <w:rsid w:val="00AB314E"/>
    <w:rsid w:val="00AB36A9"/>
    <w:rsid w:val="00AB3B18"/>
    <w:rsid w:val="00AB40D0"/>
    <w:rsid w:val="00AB43F6"/>
    <w:rsid w:val="00AB446E"/>
    <w:rsid w:val="00AB48B7"/>
    <w:rsid w:val="00AB5770"/>
    <w:rsid w:val="00AB583C"/>
    <w:rsid w:val="00AB5B3D"/>
    <w:rsid w:val="00AB5F0A"/>
    <w:rsid w:val="00AB60D9"/>
    <w:rsid w:val="00AB62FD"/>
    <w:rsid w:val="00AB6544"/>
    <w:rsid w:val="00AB66AE"/>
    <w:rsid w:val="00AB66BF"/>
    <w:rsid w:val="00AB6874"/>
    <w:rsid w:val="00AB6DE5"/>
    <w:rsid w:val="00AB7183"/>
    <w:rsid w:val="00AB76A6"/>
    <w:rsid w:val="00AB7D09"/>
    <w:rsid w:val="00AB7D31"/>
    <w:rsid w:val="00AC00C7"/>
    <w:rsid w:val="00AC0121"/>
    <w:rsid w:val="00AC02FB"/>
    <w:rsid w:val="00AC118D"/>
    <w:rsid w:val="00AC1248"/>
    <w:rsid w:val="00AC16B3"/>
    <w:rsid w:val="00AC19CB"/>
    <w:rsid w:val="00AC1AD1"/>
    <w:rsid w:val="00AC2AC5"/>
    <w:rsid w:val="00AC2D36"/>
    <w:rsid w:val="00AC3102"/>
    <w:rsid w:val="00AC3301"/>
    <w:rsid w:val="00AC3617"/>
    <w:rsid w:val="00AC3E50"/>
    <w:rsid w:val="00AC4030"/>
    <w:rsid w:val="00AC4BEC"/>
    <w:rsid w:val="00AC4DB7"/>
    <w:rsid w:val="00AC534C"/>
    <w:rsid w:val="00AC5AD5"/>
    <w:rsid w:val="00AC5ADF"/>
    <w:rsid w:val="00AC5B89"/>
    <w:rsid w:val="00AC5F68"/>
    <w:rsid w:val="00AC6C7A"/>
    <w:rsid w:val="00AC6DFA"/>
    <w:rsid w:val="00AC7152"/>
    <w:rsid w:val="00AC7163"/>
    <w:rsid w:val="00AC74B7"/>
    <w:rsid w:val="00AC750B"/>
    <w:rsid w:val="00AC766D"/>
    <w:rsid w:val="00AC7CE6"/>
    <w:rsid w:val="00AD0B73"/>
    <w:rsid w:val="00AD1142"/>
    <w:rsid w:val="00AD1157"/>
    <w:rsid w:val="00AD198B"/>
    <w:rsid w:val="00AD1AC2"/>
    <w:rsid w:val="00AD1D81"/>
    <w:rsid w:val="00AD1DB5"/>
    <w:rsid w:val="00AD20C3"/>
    <w:rsid w:val="00AD2972"/>
    <w:rsid w:val="00AD2C61"/>
    <w:rsid w:val="00AD2CA9"/>
    <w:rsid w:val="00AD2DA0"/>
    <w:rsid w:val="00AD2F8F"/>
    <w:rsid w:val="00AD31E9"/>
    <w:rsid w:val="00AD3494"/>
    <w:rsid w:val="00AD34CF"/>
    <w:rsid w:val="00AD3BFB"/>
    <w:rsid w:val="00AD3EB0"/>
    <w:rsid w:val="00AD446C"/>
    <w:rsid w:val="00AD44F8"/>
    <w:rsid w:val="00AD452F"/>
    <w:rsid w:val="00AD495E"/>
    <w:rsid w:val="00AD4990"/>
    <w:rsid w:val="00AD4D37"/>
    <w:rsid w:val="00AD532A"/>
    <w:rsid w:val="00AD534E"/>
    <w:rsid w:val="00AD5B3C"/>
    <w:rsid w:val="00AD68E8"/>
    <w:rsid w:val="00AD6A7C"/>
    <w:rsid w:val="00AD6F41"/>
    <w:rsid w:val="00AD7098"/>
    <w:rsid w:val="00AD7BB2"/>
    <w:rsid w:val="00AD7F25"/>
    <w:rsid w:val="00AD7F4B"/>
    <w:rsid w:val="00AD7FD7"/>
    <w:rsid w:val="00AE0023"/>
    <w:rsid w:val="00AE02FB"/>
    <w:rsid w:val="00AE05ED"/>
    <w:rsid w:val="00AE063F"/>
    <w:rsid w:val="00AE0CEB"/>
    <w:rsid w:val="00AE103A"/>
    <w:rsid w:val="00AE11E5"/>
    <w:rsid w:val="00AE128C"/>
    <w:rsid w:val="00AE16D7"/>
    <w:rsid w:val="00AE16DB"/>
    <w:rsid w:val="00AE1770"/>
    <w:rsid w:val="00AE185A"/>
    <w:rsid w:val="00AE2101"/>
    <w:rsid w:val="00AE27F6"/>
    <w:rsid w:val="00AE2C5D"/>
    <w:rsid w:val="00AE2C77"/>
    <w:rsid w:val="00AE3479"/>
    <w:rsid w:val="00AE3A24"/>
    <w:rsid w:val="00AE3E62"/>
    <w:rsid w:val="00AE46DB"/>
    <w:rsid w:val="00AE48BB"/>
    <w:rsid w:val="00AE4924"/>
    <w:rsid w:val="00AE4D51"/>
    <w:rsid w:val="00AE5488"/>
    <w:rsid w:val="00AE6775"/>
    <w:rsid w:val="00AE68F1"/>
    <w:rsid w:val="00AE6AC2"/>
    <w:rsid w:val="00AE6B83"/>
    <w:rsid w:val="00AE6DE4"/>
    <w:rsid w:val="00AE6F59"/>
    <w:rsid w:val="00AE6F91"/>
    <w:rsid w:val="00AE73B1"/>
    <w:rsid w:val="00AE77C4"/>
    <w:rsid w:val="00AF03CA"/>
    <w:rsid w:val="00AF05C1"/>
    <w:rsid w:val="00AF05F7"/>
    <w:rsid w:val="00AF076C"/>
    <w:rsid w:val="00AF0DA1"/>
    <w:rsid w:val="00AF127A"/>
    <w:rsid w:val="00AF1EC1"/>
    <w:rsid w:val="00AF1ECC"/>
    <w:rsid w:val="00AF240F"/>
    <w:rsid w:val="00AF2553"/>
    <w:rsid w:val="00AF28C8"/>
    <w:rsid w:val="00AF298E"/>
    <w:rsid w:val="00AF2A30"/>
    <w:rsid w:val="00AF3064"/>
    <w:rsid w:val="00AF3E3C"/>
    <w:rsid w:val="00AF423D"/>
    <w:rsid w:val="00AF425D"/>
    <w:rsid w:val="00AF4278"/>
    <w:rsid w:val="00AF44C3"/>
    <w:rsid w:val="00AF4BC2"/>
    <w:rsid w:val="00AF4C2C"/>
    <w:rsid w:val="00AF4D3A"/>
    <w:rsid w:val="00AF4F02"/>
    <w:rsid w:val="00AF52A5"/>
    <w:rsid w:val="00AF53C6"/>
    <w:rsid w:val="00AF5571"/>
    <w:rsid w:val="00AF596C"/>
    <w:rsid w:val="00AF5E7A"/>
    <w:rsid w:val="00AF5F6D"/>
    <w:rsid w:val="00AF60E0"/>
    <w:rsid w:val="00AF6A32"/>
    <w:rsid w:val="00AF6AFF"/>
    <w:rsid w:val="00AF7667"/>
    <w:rsid w:val="00AF77AE"/>
    <w:rsid w:val="00AF7B8C"/>
    <w:rsid w:val="00AF7E11"/>
    <w:rsid w:val="00AF7F97"/>
    <w:rsid w:val="00B00247"/>
    <w:rsid w:val="00B00B50"/>
    <w:rsid w:val="00B00D24"/>
    <w:rsid w:val="00B00FAB"/>
    <w:rsid w:val="00B011F2"/>
    <w:rsid w:val="00B01497"/>
    <w:rsid w:val="00B01851"/>
    <w:rsid w:val="00B0192B"/>
    <w:rsid w:val="00B01CCE"/>
    <w:rsid w:val="00B025E2"/>
    <w:rsid w:val="00B02C4E"/>
    <w:rsid w:val="00B02FBE"/>
    <w:rsid w:val="00B0318B"/>
    <w:rsid w:val="00B03255"/>
    <w:rsid w:val="00B032ED"/>
    <w:rsid w:val="00B032F5"/>
    <w:rsid w:val="00B0341D"/>
    <w:rsid w:val="00B03A4D"/>
    <w:rsid w:val="00B04B7D"/>
    <w:rsid w:val="00B05B37"/>
    <w:rsid w:val="00B05E39"/>
    <w:rsid w:val="00B0644A"/>
    <w:rsid w:val="00B064FE"/>
    <w:rsid w:val="00B06C1C"/>
    <w:rsid w:val="00B06CFC"/>
    <w:rsid w:val="00B07000"/>
    <w:rsid w:val="00B07222"/>
    <w:rsid w:val="00B077CE"/>
    <w:rsid w:val="00B07EBA"/>
    <w:rsid w:val="00B102E9"/>
    <w:rsid w:val="00B1069D"/>
    <w:rsid w:val="00B1083F"/>
    <w:rsid w:val="00B10F4E"/>
    <w:rsid w:val="00B117A4"/>
    <w:rsid w:val="00B11B2D"/>
    <w:rsid w:val="00B11BE3"/>
    <w:rsid w:val="00B12238"/>
    <w:rsid w:val="00B122BA"/>
    <w:rsid w:val="00B12686"/>
    <w:rsid w:val="00B12ABA"/>
    <w:rsid w:val="00B12FA9"/>
    <w:rsid w:val="00B13110"/>
    <w:rsid w:val="00B1311E"/>
    <w:rsid w:val="00B131AB"/>
    <w:rsid w:val="00B13D6E"/>
    <w:rsid w:val="00B1450E"/>
    <w:rsid w:val="00B14767"/>
    <w:rsid w:val="00B14E0A"/>
    <w:rsid w:val="00B14F28"/>
    <w:rsid w:val="00B14F30"/>
    <w:rsid w:val="00B152B3"/>
    <w:rsid w:val="00B15889"/>
    <w:rsid w:val="00B15B6B"/>
    <w:rsid w:val="00B15D1A"/>
    <w:rsid w:val="00B160E9"/>
    <w:rsid w:val="00B164CA"/>
    <w:rsid w:val="00B164DE"/>
    <w:rsid w:val="00B1664E"/>
    <w:rsid w:val="00B16EB9"/>
    <w:rsid w:val="00B1736D"/>
    <w:rsid w:val="00B17715"/>
    <w:rsid w:val="00B1773A"/>
    <w:rsid w:val="00B177BC"/>
    <w:rsid w:val="00B17D92"/>
    <w:rsid w:val="00B20071"/>
    <w:rsid w:val="00B203F2"/>
    <w:rsid w:val="00B20412"/>
    <w:rsid w:val="00B20723"/>
    <w:rsid w:val="00B20D79"/>
    <w:rsid w:val="00B21524"/>
    <w:rsid w:val="00B21531"/>
    <w:rsid w:val="00B216D9"/>
    <w:rsid w:val="00B218E3"/>
    <w:rsid w:val="00B21948"/>
    <w:rsid w:val="00B21BE2"/>
    <w:rsid w:val="00B23283"/>
    <w:rsid w:val="00B232A1"/>
    <w:rsid w:val="00B233D9"/>
    <w:rsid w:val="00B23409"/>
    <w:rsid w:val="00B2426C"/>
    <w:rsid w:val="00B24991"/>
    <w:rsid w:val="00B25283"/>
    <w:rsid w:val="00B2572A"/>
    <w:rsid w:val="00B25CDF"/>
    <w:rsid w:val="00B25D62"/>
    <w:rsid w:val="00B262A4"/>
    <w:rsid w:val="00B26458"/>
    <w:rsid w:val="00B264BC"/>
    <w:rsid w:val="00B26584"/>
    <w:rsid w:val="00B266B7"/>
    <w:rsid w:val="00B266DC"/>
    <w:rsid w:val="00B2694A"/>
    <w:rsid w:val="00B26AAC"/>
    <w:rsid w:val="00B26EA8"/>
    <w:rsid w:val="00B26FB4"/>
    <w:rsid w:val="00B273C8"/>
    <w:rsid w:val="00B2753D"/>
    <w:rsid w:val="00B27827"/>
    <w:rsid w:val="00B27BCD"/>
    <w:rsid w:val="00B302C7"/>
    <w:rsid w:val="00B30539"/>
    <w:rsid w:val="00B30898"/>
    <w:rsid w:val="00B30977"/>
    <w:rsid w:val="00B30CFD"/>
    <w:rsid w:val="00B314DB"/>
    <w:rsid w:val="00B316B5"/>
    <w:rsid w:val="00B316B6"/>
    <w:rsid w:val="00B31F46"/>
    <w:rsid w:val="00B31F88"/>
    <w:rsid w:val="00B32BEC"/>
    <w:rsid w:val="00B32E9B"/>
    <w:rsid w:val="00B33091"/>
    <w:rsid w:val="00B332F0"/>
    <w:rsid w:val="00B33E12"/>
    <w:rsid w:val="00B34535"/>
    <w:rsid w:val="00B34991"/>
    <w:rsid w:val="00B349D1"/>
    <w:rsid w:val="00B34ACE"/>
    <w:rsid w:val="00B34D89"/>
    <w:rsid w:val="00B34DF4"/>
    <w:rsid w:val="00B35161"/>
    <w:rsid w:val="00B356B0"/>
    <w:rsid w:val="00B36240"/>
    <w:rsid w:val="00B36D53"/>
    <w:rsid w:val="00B3701B"/>
    <w:rsid w:val="00B3718B"/>
    <w:rsid w:val="00B37228"/>
    <w:rsid w:val="00B37446"/>
    <w:rsid w:val="00B37DE6"/>
    <w:rsid w:val="00B40069"/>
    <w:rsid w:val="00B401E0"/>
    <w:rsid w:val="00B4041B"/>
    <w:rsid w:val="00B4060E"/>
    <w:rsid w:val="00B40787"/>
    <w:rsid w:val="00B40DDA"/>
    <w:rsid w:val="00B40FB2"/>
    <w:rsid w:val="00B40FC2"/>
    <w:rsid w:val="00B4164E"/>
    <w:rsid w:val="00B41C05"/>
    <w:rsid w:val="00B41E18"/>
    <w:rsid w:val="00B4208B"/>
    <w:rsid w:val="00B42BA3"/>
    <w:rsid w:val="00B42BDB"/>
    <w:rsid w:val="00B42CE3"/>
    <w:rsid w:val="00B430CD"/>
    <w:rsid w:val="00B4321D"/>
    <w:rsid w:val="00B434AA"/>
    <w:rsid w:val="00B4374F"/>
    <w:rsid w:val="00B43AE5"/>
    <w:rsid w:val="00B43CAB"/>
    <w:rsid w:val="00B43CB8"/>
    <w:rsid w:val="00B442C7"/>
    <w:rsid w:val="00B44AF4"/>
    <w:rsid w:val="00B44C7C"/>
    <w:rsid w:val="00B44DD3"/>
    <w:rsid w:val="00B456B1"/>
    <w:rsid w:val="00B45759"/>
    <w:rsid w:val="00B458A8"/>
    <w:rsid w:val="00B46228"/>
    <w:rsid w:val="00B4632A"/>
    <w:rsid w:val="00B46398"/>
    <w:rsid w:val="00B46A0F"/>
    <w:rsid w:val="00B46E95"/>
    <w:rsid w:val="00B46F78"/>
    <w:rsid w:val="00B47278"/>
    <w:rsid w:val="00B473D0"/>
    <w:rsid w:val="00B476CE"/>
    <w:rsid w:val="00B502FA"/>
    <w:rsid w:val="00B503B1"/>
    <w:rsid w:val="00B50734"/>
    <w:rsid w:val="00B50D3F"/>
    <w:rsid w:val="00B50E37"/>
    <w:rsid w:val="00B51482"/>
    <w:rsid w:val="00B520E4"/>
    <w:rsid w:val="00B528E6"/>
    <w:rsid w:val="00B530F1"/>
    <w:rsid w:val="00B5326D"/>
    <w:rsid w:val="00B5354B"/>
    <w:rsid w:val="00B53AD5"/>
    <w:rsid w:val="00B53EE3"/>
    <w:rsid w:val="00B540DD"/>
    <w:rsid w:val="00B547BC"/>
    <w:rsid w:val="00B557CF"/>
    <w:rsid w:val="00B55CE1"/>
    <w:rsid w:val="00B56419"/>
    <w:rsid w:val="00B5652C"/>
    <w:rsid w:val="00B56769"/>
    <w:rsid w:val="00B56AC1"/>
    <w:rsid w:val="00B56B37"/>
    <w:rsid w:val="00B56CBE"/>
    <w:rsid w:val="00B56F33"/>
    <w:rsid w:val="00B56FE9"/>
    <w:rsid w:val="00B570E7"/>
    <w:rsid w:val="00B571DF"/>
    <w:rsid w:val="00B57E19"/>
    <w:rsid w:val="00B57F96"/>
    <w:rsid w:val="00B600EF"/>
    <w:rsid w:val="00B600F0"/>
    <w:rsid w:val="00B603F1"/>
    <w:rsid w:val="00B605C9"/>
    <w:rsid w:val="00B605E4"/>
    <w:rsid w:val="00B60964"/>
    <w:rsid w:val="00B60B0B"/>
    <w:rsid w:val="00B6113A"/>
    <w:rsid w:val="00B611B2"/>
    <w:rsid w:val="00B61680"/>
    <w:rsid w:val="00B6191C"/>
    <w:rsid w:val="00B61A09"/>
    <w:rsid w:val="00B61E91"/>
    <w:rsid w:val="00B61F6A"/>
    <w:rsid w:val="00B62AEB"/>
    <w:rsid w:val="00B62D9D"/>
    <w:rsid w:val="00B63484"/>
    <w:rsid w:val="00B6354D"/>
    <w:rsid w:val="00B63565"/>
    <w:rsid w:val="00B636B5"/>
    <w:rsid w:val="00B63922"/>
    <w:rsid w:val="00B64AE2"/>
    <w:rsid w:val="00B64B86"/>
    <w:rsid w:val="00B65B7D"/>
    <w:rsid w:val="00B65FAC"/>
    <w:rsid w:val="00B66131"/>
    <w:rsid w:val="00B663F0"/>
    <w:rsid w:val="00B6650F"/>
    <w:rsid w:val="00B66DDF"/>
    <w:rsid w:val="00B66F20"/>
    <w:rsid w:val="00B6720D"/>
    <w:rsid w:val="00B67DA3"/>
    <w:rsid w:val="00B67DB4"/>
    <w:rsid w:val="00B706EF"/>
    <w:rsid w:val="00B71885"/>
    <w:rsid w:val="00B71BBE"/>
    <w:rsid w:val="00B7222E"/>
    <w:rsid w:val="00B72332"/>
    <w:rsid w:val="00B727DB"/>
    <w:rsid w:val="00B7294B"/>
    <w:rsid w:val="00B7294E"/>
    <w:rsid w:val="00B72977"/>
    <w:rsid w:val="00B72B38"/>
    <w:rsid w:val="00B72BCF"/>
    <w:rsid w:val="00B72C4A"/>
    <w:rsid w:val="00B73061"/>
    <w:rsid w:val="00B732CC"/>
    <w:rsid w:val="00B7367B"/>
    <w:rsid w:val="00B737A1"/>
    <w:rsid w:val="00B737FD"/>
    <w:rsid w:val="00B74930"/>
    <w:rsid w:val="00B74996"/>
    <w:rsid w:val="00B74B77"/>
    <w:rsid w:val="00B74CF0"/>
    <w:rsid w:val="00B75126"/>
    <w:rsid w:val="00B752D3"/>
    <w:rsid w:val="00B75408"/>
    <w:rsid w:val="00B75A14"/>
    <w:rsid w:val="00B75A71"/>
    <w:rsid w:val="00B769CB"/>
    <w:rsid w:val="00B76C0C"/>
    <w:rsid w:val="00B76F8A"/>
    <w:rsid w:val="00B771FA"/>
    <w:rsid w:val="00B772CB"/>
    <w:rsid w:val="00B7769D"/>
    <w:rsid w:val="00B77911"/>
    <w:rsid w:val="00B77987"/>
    <w:rsid w:val="00B77FA9"/>
    <w:rsid w:val="00B80262"/>
    <w:rsid w:val="00B803AC"/>
    <w:rsid w:val="00B8064A"/>
    <w:rsid w:val="00B81169"/>
    <w:rsid w:val="00B8136C"/>
    <w:rsid w:val="00B8166D"/>
    <w:rsid w:val="00B81739"/>
    <w:rsid w:val="00B81742"/>
    <w:rsid w:val="00B819AD"/>
    <w:rsid w:val="00B81C16"/>
    <w:rsid w:val="00B81EAB"/>
    <w:rsid w:val="00B82744"/>
    <w:rsid w:val="00B8292A"/>
    <w:rsid w:val="00B8342B"/>
    <w:rsid w:val="00B83574"/>
    <w:rsid w:val="00B8368E"/>
    <w:rsid w:val="00B83C7C"/>
    <w:rsid w:val="00B83ED3"/>
    <w:rsid w:val="00B84475"/>
    <w:rsid w:val="00B84561"/>
    <w:rsid w:val="00B84D32"/>
    <w:rsid w:val="00B84D3D"/>
    <w:rsid w:val="00B84DDA"/>
    <w:rsid w:val="00B84FF0"/>
    <w:rsid w:val="00B850AA"/>
    <w:rsid w:val="00B851B0"/>
    <w:rsid w:val="00B857F1"/>
    <w:rsid w:val="00B85958"/>
    <w:rsid w:val="00B85B17"/>
    <w:rsid w:val="00B85D0F"/>
    <w:rsid w:val="00B86812"/>
    <w:rsid w:val="00B86C43"/>
    <w:rsid w:val="00B87ADF"/>
    <w:rsid w:val="00B87DB6"/>
    <w:rsid w:val="00B9049C"/>
    <w:rsid w:val="00B906F3"/>
    <w:rsid w:val="00B90768"/>
    <w:rsid w:val="00B90CB4"/>
    <w:rsid w:val="00B90D86"/>
    <w:rsid w:val="00B90E79"/>
    <w:rsid w:val="00B90EC1"/>
    <w:rsid w:val="00B910C5"/>
    <w:rsid w:val="00B91154"/>
    <w:rsid w:val="00B91369"/>
    <w:rsid w:val="00B917C7"/>
    <w:rsid w:val="00B91CAC"/>
    <w:rsid w:val="00B91D22"/>
    <w:rsid w:val="00B91D9A"/>
    <w:rsid w:val="00B92358"/>
    <w:rsid w:val="00B9258D"/>
    <w:rsid w:val="00B92B20"/>
    <w:rsid w:val="00B92C9B"/>
    <w:rsid w:val="00B92D5A"/>
    <w:rsid w:val="00B92DA5"/>
    <w:rsid w:val="00B93439"/>
    <w:rsid w:val="00B9354E"/>
    <w:rsid w:val="00B93840"/>
    <w:rsid w:val="00B93BDD"/>
    <w:rsid w:val="00B93FE4"/>
    <w:rsid w:val="00B9432B"/>
    <w:rsid w:val="00B9434F"/>
    <w:rsid w:val="00B944F9"/>
    <w:rsid w:val="00B944FB"/>
    <w:rsid w:val="00B94589"/>
    <w:rsid w:val="00B948CD"/>
    <w:rsid w:val="00B94B27"/>
    <w:rsid w:val="00B955AE"/>
    <w:rsid w:val="00B95C9D"/>
    <w:rsid w:val="00B95CD3"/>
    <w:rsid w:val="00B95DE5"/>
    <w:rsid w:val="00B95E11"/>
    <w:rsid w:val="00B95F34"/>
    <w:rsid w:val="00B961C3"/>
    <w:rsid w:val="00B97310"/>
    <w:rsid w:val="00BA04E9"/>
    <w:rsid w:val="00BA0A5E"/>
    <w:rsid w:val="00BA111C"/>
    <w:rsid w:val="00BA1C9C"/>
    <w:rsid w:val="00BA1D94"/>
    <w:rsid w:val="00BA1FD3"/>
    <w:rsid w:val="00BA234D"/>
    <w:rsid w:val="00BA2600"/>
    <w:rsid w:val="00BA26CC"/>
    <w:rsid w:val="00BA276C"/>
    <w:rsid w:val="00BA2DC2"/>
    <w:rsid w:val="00BA2F04"/>
    <w:rsid w:val="00BA2F4E"/>
    <w:rsid w:val="00BA397F"/>
    <w:rsid w:val="00BA4224"/>
    <w:rsid w:val="00BA43FD"/>
    <w:rsid w:val="00BA4746"/>
    <w:rsid w:val="00BA483C"/>
    <w:rsid w:val="00BA4C1D"/>
    <w:rsid w:val="00BA4E7D"/>
    <w:rsid w:val="00BA528B"/>
    <w:rsid w:val="00BA53BB"/>
    <w:rsid w:val="00BA573E"/>
    <w:rsid w:val="00BA5D29"/>
    <w:rsid w:val="00BA5E29"/>
    <w:rsid w:val="00BA619C"/>
    <w:rsid w:val="00BA63B3"/>
    <w:rsid w:val="00BA683E"/>
    <w:rsid w:val="00BA6B53"/>
    <w:rsid w:val="00BA6E00"/>
    <w:rsid w:val="00BA6F6A"/>
    <w:rsid w:val="00BA7312"/>
    <w:rsid w:val="00BA73DD"/>
    <w:rsid w:val="00BA73E2"/>
    <w:rsid w:val="00BA76C8"/>
    <w:rsid w:val="00BA778F"/>
    <w:rsid w:val="00BA792D"/>
    <w:rsid w:val="00BA7B0C"/>
    <w:rsid w:val="00BA7C89"/>
    <w:rsid w:val="00BA7CCA"/>
    <w:rsid w:val="00BA7F1C"/>
    <w:rsid w:val="00BA7F2B"/>
    <w:rsid w:val="00BB0040"/>
    <w:rsid w:val="00BB01F4"/>
    <w:rsid w:val="00BB0213"/>
    <w:rsid w:val="00BB09C6"/>
    <w:rsid w:val="00BB0C60"/>
    <w:rsid w:val="00BB146F"/>
    <w:rsid w:val="00BB15C3"/>
    <w:rsid w:val="00BB19E7"/>
    <w:rsid w:val="00BB1EBF"/>
    <w:rsid w:val="00BB1F5B"/>
    <w:rsid w:val="00BB208D"/>
    <w:rsid w:val="00BB23F0"/>
    <w:rsid w:val="00BB256D"/>
    <w:rsid w:val="00BB2B3F"/>
    <w:rsid w:val="00BB2D95"/>
    <w:rsid w:val="00BB2F42"/>
    <w:rsid w:val="00BB306F"/>
    <w:rsid w:val="00BB35E4"/>
    <w:rsid w:val="00BB369E"/>
    <w:rsid w:val="00BB4116"/>
    <w:rsid w:val="00BB4145"/>
    <w:rsid w:val="00BB4253"/>
    <w:rsid w:val="00BB49EB"/>
    <w:rsid w:val="00BB4CC8"/>
    <w:rsid w:val="00BB4FB4"/>
    <w:rsid w:val="00BB52E6"/>
    <w:rsid w:val="00BB5322"/>
    <w:rsid w:val="00BB58D5"/>
    <w:rsid w:val="00BB5FB7"/>
    <w:rsid w:val="00BB5FC7"/>
    <w:rsid w:val="00BB658B"/>
    <w:rsid w:val="00BB664F"/>
    <w:rsid w:val="00BB6F7A"/>
    <w:rsid w:val="00BB7714"/>
    <w:rsid w:val="00BB776A"/>
    <w:rsid w:val="00BB7802"/>
    <w:rsid w:val="00BB79ED"/>
    <w:rsid w:val="00BB7C91"/>
    <w:rsid w:val="00BB7E95"/>
    <w:rsid w:val="00BC0622"/>
    <w:rsid w:val="00BC09CD"/>
    <w:rsid w:val="00BC0B5A"/>
    <w:rsid w:val="00BC1478"/>
    <w:rsid w:val="00BC18C9"/>
    <w:rsid w:val="00BC2339"/>
    <w:rsid w:val="00BC2AFC"/>
    <w:rsid w:val="00BC2D8D"/>
    <w:rsid w:val="00BC2EDB"/>
    <w:rsid w:val="00BC3590"/>
    <w:rsid w:val="00BC3C59"/>
    <w:rsid w:val="00BC4041"/>
    <w:rsid w:val="00BC433F"/>
    <w:rsid w:val="00BC4A2D"/>
    <w:rsid w:val="00BC4BE9"/>
    <w:rsid w:val="00BC4DAA"/>
    <w:rsid w:val="00BC4E19"/>
    <w:rsid w:val="00BC4F90"/>
    <w:rsid w:val="00BC57DB"/>
    <w:rsid w:val="00BC5941"/>
    <w:rsid w:val="00BC5A13"/>
    <w:rsid w:val="00BC6005"/>
    <w:rsid w:val="00BC65A4"/>
    <w:rsid w:val="00BC668B"/>
    <w:rsid w:val="00BC668F"/>
    <w:rsid w:val="00BC6855"/>
    <w:rsid w:val="00BC6A1F"/>
    <w:rsid w:val="00BC6C67"/>
    <w:rsid w:val="00BC6DCB"/>
    <w:rsid w:val="00BC70E9"/>
    <w:rsid w:val="00BC7733"/>
    <w:rsid w:val="00BC7DEB"/>
    <w:rsid w:val="00BD0135"/>
    <w:rsid w:val="00BD01F4"/>
    <w:rsid w:val="00BD09C0"/>
    <w:rsid w:val="00BD0C04"/>
    <w:rsid w:val="00BD0CF9"/>
    <w:rsid w:val="00BD0EB4"/>
    <w:rsid w:val="00BD1299"/>
    <w:rsid w:val="00BD2028"/>
    <w:rsid w:val="00BD23C2"/>
    <w:rsid w:val="00BD24F2"/>
    <w:rsid w:val="00BD2703"/>
    <w:rsid w:val="00BD2DF4"/>
    <w:rsid w:val="00BD3378"/>
    <w:rsid w:val="00BD33F7"/>
    <w:rsid w:val="00BD3A3F"/>
    <w:rsid w:val="00BD3C95"/>
    <w:rsid w:val="00BD3D92"/>
    <w:rsid w:val="00BD41AE"/>
    <w:rsid w:val="00BD41BB"/>
    <w:rsid w:val="00BD4730"/>
    <w:rsid w:val="00BD495B"/>
    <w:rsid w:val="00BD4B89"/>
    <w:rsid w:val="00BD51C3"/>
    <w:rsid w:val="00BD5584"/>
    <w:rsid w:val="00BD570C"/>
    <w:rsid w:val="00BD5712"/>
    <w:rsid w:val="00BD5A19"/>
    <w:rsid w:val="00BD5E95"/>
    <w:rsid w:val="00BD5F33"/>
    <w:rsid w:val="00BD6504"/>
    <w:rsid w:val="00BD7265"/>
    <w:rsid w:val="00BD726E"/>
    <w:rsid w:val="00BD75AF"/>
    <w:rsid w:val="00BD7826"/>
    <w:rsid w:val="00BD7DCC"/>
    <w:rsid w:val="00BE025B"/>
    <w:rsid w:val="00BE047B"/>
    <w:rsid w:val="00BE0B95"/>
    <w:rsid w:val="00BE0CBC"/>
    <w:rsid w:val="00BE0D78"/>
    <w:rsid w:val="00BE0F76"/>
    <w:rsid w:val="00BE120D"/>
    <w:rsid w:val="00BE167E"/>
    <w:rsid w:val="00BE1964"/>
    <w:rsid w:val="00BE1967"/>
    <w:rsid w:val="00BE19E0"/>
    <w:rsid w:val="00BE1A3A"/>
    <w:rsid w:val="00BE2AE0"/>
    <w:rsid w:val="00BE2FA0"/>
    <w:rsid w:val="00BE3101"/>
    <w:rsid w:val="00BE31DC"/>
    <w:rsid w:val="00BE3526"/>
    <w:rsid w:val="00BE358A"/>
    <w:rsid w:val="00BE376B"/>
    <w:rsid w:val="00BE3D72"/>
    <w:rsid w:val="00BE3E56"/>
    <w:rsid w:val="00BE3FD6"/>
    <w:rsid w:val="00BE4112"/>
    <w:rsid w:val="00BE4A27"/>
    <w:rsid w:val="00BE4C47"/>
    <w:rsid w:val="00BE5987"/>
    <w:rsid w:val="00BE6435"/>
    <w:rsid w:val="00BE64AF"/>
    <w:rsid w:val="00BE65AE"/>
    <w:rsid w:val="00BE6681"/>
    <w:rsid w:val="00BE6BF1"/>
    <w:rsid w:val="00BE6C00"/>
    <w:rsid w:val="00BE705C"/>
    <w:rsid w:val="00BE72B5"/>
    <w:rsid w:val="00BE73F9"/>
    <w:rsid w:val="00BE78F5"/>
    <w:rsid w:val="00BE7D95"/>
    <w:rsid w:val="00BF031D"/>
    <w:rsid w:val="00BF03D8"/>
    <w:rsid w:val="00BF0ACA"/>
    <w:rsid w:val="00BF111F"/>
    <w:rsid w:val="00BF180B"/>
    <w:rsid w:val="00BF1823"/>
    <w:rsid w:val="00BF1864"/>
    <w:rsid w:val="00BF1A40"/>
    <w:rsid w:val="00BF1B5A"/>
    <w:rsid w:val="00BF1D42"/>
    <w:rsid w:val="00BF2146"/>
    <w:rsid w:val="00BF24DA"/>
    <w:rsid w:val="00BF2AEA"/>
    <w:rsid w:val="00BF339D"/>
    <w:rsid w:val="00BF3411"/>
    <w:rsid w:val="00BF3461"/>
    <w:rsid w:val="00BF34CC"/>
    <w:rsid w:val="00BF3DF6"/>
    <w:rsid w:val="00BF43CE"/>
    <w:rsid w:val="00BF4CCB"/>
    <w:rsid w:val="00BF4D34"/>
    <w:rsid w:val="00BF523A"/>
    <w:rsid w:val="00BF5612"/>
    <w:rsid w:val="00BF5AF5"/>
    <w:rsid w:val="00BF61E1"/>
    <w:rsid w:val="00BF6533"/>
    <w:rsid w:val="00BF67FA"/>
    <w:rsid w:val="00BF6B82"/>
    <w:rsid w:val="00BF6FD8"/>
    <w:rsid w:val="00BF717E"/>
    <w:rsid w:val="00BF71C4"/>
    <w:rsid w:val="00BF72EC"/>
    <w:rsid w:val="00BF7A3B"/>
    <w:rsid w:val="00BF7D6D"/>
    <w:rsid w:val="00BF7F7C"/>
    <w:rsid w:val="00C0075D"/>
    <w:rsid w:val="00C00CE3"/>
    <w:rsid w:val="00C00E20"/>
    <w:rsid w:val="00C0149A"/>
    <w:rsid w:val="00C01D45"/>
    <w:rsid w:val="00C01DAD"/>
    <w:rsid w:val="00C01E60"/>
    <w:rsid w:val="00C0258D"/>
    <w:rsid w:val="00C0275D"/>
    <w:rsid w:val="00C029AF"/>
    <w:rsid w:val="00C02D36"/>
    <w:rsid w:val="00C02D73"/>
    <w:rsid w:val="00C02EA6"/>
    <w:rsid w:val="00C035E3"/>
    <w:rsid w:val="00C03680"/>
    <w:rsid w:val="00C03F9C"/>
    <w:rsid w:val="00C04314"/>
    <w:rsid w:val="00C04499"/>
    <w:rsid w:val="00C045F5"/>
    <w:rsid w:val="00C047D5"/>
    <w:rsid w:val="00C047D9"/>
    <w:rsid w:val="00C04CBF"/>
    <w:rsid w:val="00C04F37"/>
    <w:rsid w:val="00C052ED"/>
    <w:rsid w:val="00C054DF"/>
    <w:rsid w:val="00C0580F"/>
    <w:rsid w:val="00C0593D"/>
    <w:rsid w:val="00C05AAD"/>
    <w:rsid w:val="00C05C0C"/>
    <w:rsid w:val="00C05EC5"/>
    <w:rsid w:val="00C05F10"/>
    <w:rsid w:val="00C06120"/>
    <w:rsid w:val="00C062C0"/>
    <w:rsid w:val="00C067C3"/>
    <w:rsid w:val="00C071D4"/>
    <w:rsid w:val="00C1021C"/>
    <w:rsid w:val="00C1072B"/>
    <w:rsid w:val="00C10C6B"/>
    <w:rsid w:val="00C11042"/>
    <w:rsid w:val="00C113F3"/>
    <w:rsid w:val="00C116E8"/>
    <w:rsid w:val="00C11A27"/>
    <w:rsid w:val="00C12378"/>
    <w:rsid w:val="00C12DEE"/>
    <w:rsid w:val="00C13281"/>
    <w:rsid w:val="00C132AE"/>
    <w:rsid w:val="00C1331C"/>
    <w:rsid w:val="00C135D0"/>
    <w:rsid w:val="00C13881"/>
    <w:rsid w:val="00C13D44"/>
    <w:rsid w:val="00C13EC3"/>
    <w:rsid w:val="00C143A1"/>
    <w:rsid w:val="00C14978"/>
    <w:rsid w:val="00C14C7C"/>
    <w:rsid w:val="00C152A5"/>
    <w:rsid w:val="00C15A24"/>
    <w:rsid w:val="00C15A62"/>
    <w:rsid w:val="00C15E41"/>
    <w:rsid w:val="00C16451"/>
    <w:rsid w:val="00C1660B"/>
    <w:rsid w:val="00C16647"/>
    <w:rsid w:val="00C169C4"/>
    <w:rsid w:val="00C174CA"/>
    <w:rsid w:val="00C17AFB"/>
    <w:rsid w:val="00C17B35"/>
    <w:rsid w:val="00C17BE7"/>
    <w:rsid w:val="00C17C8F"/>
    <w:rsid w:val="00C20C1C"/>
    <w:rsid w:val="00C20D9C"/>
    <w:rsid w:val="00C20E98"/>
    <w:rsid w:val="00C2109F"/>
    <w:rsid w:val="00C21762"/>
    <w:rsid w:val="00C21974"/>
    <w:rsid w:val="00C219CF"/>
    <w:rsid w:val="00C21E02"/>
    <w:rsid w:val="00C2207C"/>
    <w:rsid w:val="00C2240A"/>
    <w:rsid w:val="00C22BEF"/>
    <w:rsid w:val="00C22D69"/>
    <w:rsid w:val="00C233AC"/>
    <w:rsid w:val="00C2355D"/>
    <w:rsid w:val="00C236C1"/>
    <w:rsid w:val="00C24543"/>
    <w:rsid w:val="00C24624"/>
    <w:rsid w:val="00C247B9"/>
    <w:rsid w:val="00C24859"/>
    <w:rsid w:val="00C24A94"/>
    <w:rsid w:val="00C24CDF"/>
    <w:rsid w:val="00C2517B"/>
    <w:rsid w:val="00C25480"/>
    <w:rsid w:val="00C25607"/>
    <w:rsid w:val="00C256A2"/>
    <w:rsid w:val="00C265A1"/>
    <w:rsid w:val="00C26A02"/>
    <w:rsid w:val="00C26AD6"/>
    <w:rsid w:val="00C2728C"/>
    <w:rsid w:val="00C27A6A"/>
    <w:rsid w:val="00C300ED"/>
    <w:rsid w:val="00C30573"/>
    <w:rsid w:val="00C30AC4"/>
    <w:rsid w:val="00C30B9C"/>
    <w:rsid w:val="00C30D2D"/>
    <w:rsid w:val="00C3137A"/>
    <w:rsid w:val="00C3249B"/>
    <w:rsid w:val="00C32539"/>
    <w:rsid w:val="00C32962"/>
    <w:rsid w:val="00C329B6"/>
    <w:rsid w:val="00C331D7"/>
    <w:rsid w:val="00C33726"/>
    <w:rsid w:val="00C33A8F"/>
    <w:rsid w:val="00C33F62"/>
    <w:rsid w:val="00C34113"/>
    <w:rsid w:val="00C3457E"/>
    <w:rsid w:val="00C34A4C"/>
    <w:rsid w:val="00C34CEF"/>
    <w:rsid w:val="00C34E9B"/>
    <w:rsid w:val="00C35013"/>
    <w:rsid w:val="00C3530F"/>
    <w:rsid w:val="00C3534A"/>
    <w:rsid w:val="00C3552C"/>
    <w:rsid w:val="00C35A95"/>
    <w:rsid w:val="00C3601A"/>
    <w:rsid w:val="00C3612C"/>
    <w:rsid w:val="00C3617B"/>
    <w:rsid w:val="00C3623E"/>
    <w:rsid w:val="00C364C3"/>
    <w:rsid w:val="00C37495"/>
    <w:rsid w:val="00C37702"/>
    <w:rsid w:val="00C37D3B"/>
    <w:rsid w:val="00C37FDB"/>
    <w:rsid w:val="00C401C4"/>
    <w:rsid w:val="00C40219"/>
    <w:rsid w:val="00C405FE"/>
    <w:rsid w:val="00C40641"/>
    <w:rsid w:val="00C4082F"/>
    <w:rsid w:val="00C40A0A"/>
    <w:rsid w:val="00C40C74"/>
    <w:rsid w:val="00C40F4C"/>
    <w:rsid w:val="00C4102B"/>
    <w:rsid w:val="00C415F7"/>
    <w:rsid w:val="00C4160B"/>
    <w:rsid w:val="00C41985"/>
    <w:rsid w:val="00C41A67"/>
    <w:rsid w:val="00C41AD0"/>
    <w:rsid w:val="00C41D1E"/>
    <w:rsid w:val="00C41D81"/>
    <w:rsid w:val="00C42BE7"/>
    <w:rsid w:val="00C433C4"/>
    <w:rsid w:val="00C437CD"/>
    <w:rsid w:val="00C43B41"/>
    <w:rsid w:val="00C43E22"/>
    <w:rsid w:val="00C440EB"/>
    <w:rsid w:val="00C441D8"/>
    <w:rsid w:val="00C44748"/>
    <w:rsid w:val="00C4519A"/>
    <w:rsid w:val="00C45415"/>
    <w:rsid w:val="00C4567D"/>
    <w:rsid w:val="00C456B6"/>
    <w:rsid w:val="00C45834"/>
    <w:rsid w:val="00C4584B"/>
    <w:rsid w:val="00C45892"/>
    <w:rsid w:val="00C45D0C"/>
    <w:rsid w:val="00C45EB0"/>
    <w:rsid w:val="00C4633A"/>
    <w:rsid w:val="00C46451"/>
    <w:rsid w:val="00C46486"/>
    <w:rsid w:val="00C46810"/>
    <w:rsid w:val="00C50392"/>
    <w:rsid w:val="00C50AE1"/>
    <w:rsid w:val="00C50E0A"/>
    <w:rsid w:val="00C512B7"/>
    <w:rsid w:val="00C51515"/>
    <w:rsid w:val="00C517D8"/>
    <w:rsid w:val="00C51884"/>
    <w:rsid w:val="00C51A9D"/>
    <w:rsid w:val="00C51AA5"/>
    <w:rsid w:val="00C51B54"/>
    <w:rsid w:val="00C51D13"/>
    <w:rsid w:val="00C52032"/>
    <w:rsid w:val="00C52A55"/>
    <w:rsid w:val="00C52E97"/>
    <w:rsid w:val="00C53067"/>
    <w:rsid w:val="00C531AE"/>
    <w:rsid w:val="00C5332A"/>
    <w:rsid w:val="00C533FC"/>
    <w:rsid w:val="00C53ADC"/>
    <w:rsid w:val="00C53B4B"/>
    <w:rsid w:val="00C54035"/>
    <w:rsid w:val="00C540FE"/>
    <w:rsid w:val="00C54598"/>
    <w:rsid w:val="00C554CF"/>
    <w:rsid w:val="00C55590"/>
    <w:rsid w:val="00C55DC5"/>
    <w:rsid w:val="00C56281"/>
    <w:rsid w:val="00C5660B"/>
    <w:rsid w:val="00C56633"/>
    <w:rsid w:val="00C56664"/>
    <w:rsid w:val="00C56BB7"/>
    <w:rsid w:val="00C573E1"/>
    <w:rsid w:val="00C578A4"/>
    <w:rsid w:val="00C604DB"/>
    <w:rsid w:val="00C60EAA"/>
    <w:rsid w:val="00C60EEA"/>
    <w:rsid w:val="00C61082"/>
    <w:rsid w:val="00C61566"/>
    <w:rsid w:val="00C616B6"/>
    <w:rsid w:val="00C618CE"/>
    <w:rsid w:val="00C61CC5"/>
    <w:rsid w:val="00C62087"/>
    <w:rsid w:val="00C62141"/>
    <w:rsid w:val="00C62241"/>
    <w:rsid w:val="00C62AE2"/>
    <w:rsid w:val="00C62CFF"/>
    <w:rsid w:val="00C630D7"/>
    <w:rsid w:val="00C63412"/>
    <w:rsid w:val="00C6366B"/>
    <w:rsid w:val="00C639C6"/>
    <w:rsid w:val="00C639FB"/>
    <w:rsid w:val="00C63D51"/>
    <w:rsid w:val="00C6438A"/>
    <w:rsid w:val="00C64BF2"/>
    <w:rsid w:val="00C65722"/>
    <w:rsid w:val="00C65B9E"/>
    <w:rsid w:val="00C65E14"/>
    <w:rsid w:val="00C66284"/>
    <w:rsid w:val="00C66807"/>
    <w:rsid w:val="00C66B72"/>
    <w:rsid w:val="00C66E3D"/>
    <w:rsid w:val="00C67740"/>
    <w:rsid w:val="00C7030F"/>
    <w:rsid w:val="00C709FD"/>
    <w:rsid w:val="00C7121C"/>
    <w:rsid w:val="00C713CE"/>
    <w:rsid w:val="00C713D2"/>
    <w:rsid w:val="00C71A49"/>
    <w:rsid w:val="00C71C0F"/>
    <w:rsid w:val="00C71F60"/>
    <w:rsid w:val="00C7235C"/>
    <w:rsid w:val="00C726E4"/>
    <w:rsid w:val="00C72736"/>
    <w:rsid w:val="00C72939"/>
    <w:rsid w:val="00C73345"/>
    <w:rsid w:val="00C73843"/>
    <w:rsid w:val="00C739D6"/>
    <w:rsid w:val="00C73D8E"/>
    <w:rsid w:val="00C746F6"/>
    <w:rsid w:val="00C74A29"/>
    <w:rsid w:val="00C751A0"/>
    <w:rsid w:val="00C7553C"/>
    <w:rsid w:val="00C75792"/>
    <w:rsid w:val="00C7582E"/>
    <w:rsid w:val="00C75FCA"/>
    <w:rsid w:val="00C761C7"/>
    <w:rsid w:val="00C7625C"/>
    <w:rsid w:val="00C762F5"/>
    <w:rsid w:val="00C7651F"/>
    <w:rsid w:val="00C768DE"/>
    <w:rsid w:val="00C769B0"/>
    <w:rsid w:val="00C76DF0"/>
    <w:rsid w:val="00C7755C"/>
    <w:rsid w:val="00C777AC"/>
    <w:rsid w:val="00C7781C"/>
    <w:rsid w:val="00C77BDE"/>
    <w:rsid w:val="00C80067"/>
    <w:rsid w:val="00C8077D"/>
    <w:rsid w:val="00C80D43"/>
    <w:rsid w:val="00C817A5"/>
    <w:rsid w:val="00C819AF"/>
    <w:rsid w:val="00C81B10"/>
    <w:rsid w:val="00C81C21"/>
    <w:rsid w:val="00C825C1"/>
    <w:rsid w:val="00C8374C"/>
    <w:rsid w:val="00C8384D"/>
    <w:rsid w:val="00C83A04"/>
    <w:rsid w:val="00C83C2A"/>
    <w:rsid w:val="00C83F12"/>
    <w:rsid w:val="00C842DF"/>
    <w:rsid w:val="00C84A25"/>
    <w:rsid w:val="00C851E6"/>
    <w:rsid w:val="00C853B0"/>
    <w:rsid w:val="00C85A89"/>
    <w:rsid w:val="00C85B93"/>
    <w:rsid w:val="00C85E9A"/>
    <w:rsid w:val="00C861DF"/>
    <w:rsid w:val="00C8646E"/>
    <w:rsid w:val="00C86F17"/>
    <w:rsid w:val="00C872FB"/>
    <w:rsid w:val="00C87EB8"/>
    <w:rsid w:val="00C90FA6"/>
    <w:rsid w:val="00C9157C"/>
    <w:rsid w:val="00C9176B"/>
    <w:rsid w:val="00C9192C"/>
    <w:rsid w:val="00C91A63"/>
    <w:rsid w:val="00C91F1F"/>
    <w:rsid w:val="00C91FAE"/>
    <w:rsid w:val="00C92371"/>
    <w:rsid w:val="00C925E5"/>
    <w:rsid w:val="00C9263A"/>
    <w:rsid w:val="00C92BBF"/>
    <w:rsid w:val="00C92DFD"/>
    <w:rsid w:val="00C9329D"/>
    <w:rsid w:val="00C9346A"/>
    <w:rsid w:val="00C93758"/>
    <w:rsid w:val="00C93901"/>
    <w:rsid w:val="00C939C5"/>
    <w:rsid w:val="00C9443A"/>
    <w:rsid w:val="00C94480"/>
    <w:rsid w:val="00C94963"/>
    <w:rsid w:val="00C94A21"/>
    <w:rsid w:val="00C94D25"/>
    <w:rsid w:val="00C94D5E"/>
    <w:rsid w:val="00C94E03"/>
    <w:rsid w:val="00C95188"/>
    <w:rsid w:val="00C9567A"/>
    <w:rsid w:val="00C95E86"/>
    <w:rsid w:val="00C96C27"/>
    <w:rsid w:val="00C97568"/>
    <w:rsid w:val="00C97B5F"/>
    <w:rsid w:val="00CA02D4"/>
    <w:rsid w:val="00CA03F7"/>
    <w:rsid w:val="00CA0A77"/>
    <w:rsid w:val="00CA115B"/>
    <w:rsid w:val="00CA1392"/>
    <w:rsid w:val="00CA1713"/>
    <w:rsid w:val="00CA18FF"/>
    <w:rsid w:val="00CA19CA"/>
    <w:rsid w:val="00CA1CAE"/>
    <w:rsid w:val="00CA1CFC"/>
    <w:rsid w:val="00CA2077"/>
    <w:rsid w:val="00CA2443"/>
    <w:rsid w:val="00CA24E3"/>
    <w:rsid w:val="00CA2AED"/>
    <w:rsid w:val="00CA310F"/>
    <w:rsid w:val="00CA346B"/>
    <w:rsid w:val="00CA3FAB"/>
    <w:rsid w:val="00CA4050"/>
    <w:rsid w:val="00CA438E"/>
    <w:rsid w:val="00CA4570"/>
    <w:rsid w:val="00CA4E81"/>
    <w:rsid w:val="00CA51DB"/>
    <w:rsid w:val="00CA594D"/>
    <w:rsid w:val="00CA5CED"/>
    <w:rsid w:val="00CA6001"/>
    <w:rsid w:val="00CA6347"/>
    <w:rsid w:val="00CA646A"/>
    <w:rsid w:val="00CA6A7E"/>
    <w:rsid w:val="00CA6B05"/>
    <w:rsid w:val="00CA736B"/>
    <w:rsid w:val="00CA7658"/>
    <w:rsid w:val="00CA77C5"/>
    <w:rsid w:val="00CA7D38"/>
    <w:rsid w:val="00CA7EA3"/>
    <w:rsid w:val="00CB0568"/>
    <w:rsid w:val="00CB09E7"/>
    <w:rsid w:val="00CB1284"/>
    <w:rsid w:val="00CB1367"/>
    <w:rsid w:val="00CB15BF"/>
    <w:rsid w:val="00CB1774"/>
    <w:rsid w:val="00CB1B22"/>
    <w:rsid w:val="00CB212D"/>
    <w:rsid w:val="00CB22AB"/>
    <w:rsid w:val="00CB2365"/>
    <w:rsid w:val="00CB25B4"/>
    <w:rsid w:val="00CB2660"/>
    <w:rsid w:val="00CB268E"/>
    <w:rsid w:val="00CB269C"/>
    <w:rsid w:val="00CB33DA"/>
    <w:rsid w:val="00CB3766"/>
    <w:rsid w:val="00CB3D2A"/>
    <w:rsid w:val="00CB51F9"/>
    <w:rsid w:val="00CB56F2"/>
    <w:rsid w:val="00CB5B57"/>
    <w:rsid w:val="00CB5CAB"/>
    <w:rsid w:val="00CB6563"/>
    <w:rsid w:val="00CB6914"/>
    <w:rsid w:val="00CB6A15"/>
    <w:rsid w:val="00CB6BBC"/>
    <w:rsid w:val="00CB6CDB"/>
    <w:rsid w:val="00CB7019"/>
    <w:rsid w:val="00CB7174"/>
    <w:rsid w:val="00CB738A"/>
    <w:rsid w:val="00CB75DC"/>
    <w:rsid w:val="00CB768E"/>
    <w:rsid w:val="00CB7C44"/>
    <w:rsid w:val="00CC0526"/>
    <w:rsid w:val="00CC066B"/>
    <w:rsid w:val="00CC0C3B"/>
    <w:rsid w:val="00CC1C27"/>
    <w:rsid w:val="00CC1D21"/>
    <w:rsid w:val="00CC201A"/>
    <w:rsid w:val="00CC2355"/>
    <w:rsid w:val="00CC2479"/>
    <w:rsid w:val="00CC25EE"/>
    <w:rsid w:val="00CC2CE0"/>
    <w:rsid w:val="00CC2F1C"/>
    <w:rsid w:val="00CC2FB9"/>
    <w:rsid w:val="00CC305E"/>
    <w:rsid w:val="00CC3194"/>
    <w:rsid w:val="00CC31C5"/>
    <w:rsid w:val="00CC33E4"/>
    <w:rsid w:val="00CC4055"/>
    <w:rsid w:val="00CC40F6"/>
    <w:rsid w:val="00CC437D"/>
    <w:rsid w:val="00CC44AC"/>
    <w:rsid w:val="00CC4507"/>
    <w:rsid w:val="00CC4B7D"/>
    <w:rsid w:val="00CC4FB6"/>
    <w:rsid w:val="00CC4FCD"/>
    <w:rsid w:val="00CC54BA"/>
    <w:rsid w:val="00CC5619"/>
    <w:rsid w:val="00CC5A69"/>
    <w:rsid w:val="00CC5E90"/>
    <w:rsid w:val="00CC5E9E"/>
    <w:rsid w:val="00CC6286"/>
    <w:rsid w:val="00CC62A2"/>
    <w:rsid w:val="00CC636E"/>
    <w:rsid w:val="00CC6DEA"/>
    <w:rsid w:val="00CC6EEB"/>
    <w:rsid w:val="00CC7018"/>
    <w:rsid w:val="00CC7123"/>
    <w:rsid w:val="00CC73C1"/>
    <w:rsid w:val="00CC759E"/>
    <w:rsid w:val="00CC76D2"/>
    <w:rsid w:val="00CC7B6E"/>
    <w:rsid w:val="00CC7BE0"/>
    <w:rsid w:val="00CC7D0D"/>
    <w:rsid w:val="00CD03AA"/>
    <w:rsid w:val="00CD046C"/>
    <w:rsid w:val="00CD07FB"/>
    <w:rsid w:val="00CD0EA6"/>
    <w:rsid w:val="00CD0FF4"/>
    <w:rsid w:val="00CD1071"/>
    <w:rsid w:val="00CD1103"/>
    <w:rsid w:val="00CD186A"/>
    <w:rsid w:val="00CD1947"/>
    <w:rsid w:val="00CD1B0D"/>
    <w:rsid w:val="00CD21DC"/>
    <w:rsid w:val="00CD241B"/>
    <w:rsid w:val="00CD2990"/>
    <w:rsid w:val="00CD2A95"/>
    <w:rsid w:val="00CD341F"/>
    <w:rsid w:val="00CD395B"/>
    <w:rsid w:val="00CD39A2"/>
    <w:rsid w:val="00CD3E9E"/>
    <w:rsid w:val="00CD4108"/>
    <w:rsid w:val="00CD4338"/>
    <w:rsid w:val="00CD49CE"/>
    <w:rsid w:val="00CD4B09"/>
    <w:rsid w:val="00CD4BA5"/>
    <w:rsid w:val="00CD4EAB"/>
    <w:rsid w:val="00CD584F"/>
    <w:rsid w:val="00CD6484"/>
    <w:rsid w:val="00CD66CD"/>
    <w:rsid w:val="00CD6740"/>
    <w:rsid w:val="00CD6F85"/>
    <w:rsid w:val="00CD72F1"/>
    <w:rsid w:val="00CD7C47"/>
    <w:rsid w:val="00CE02F4"/>
    <w:rsid w:val="00CE076C"/>
    <w:rsid w:val="00CE0F5A"/>
    <w:rsid w:val="00CE17C9"/>
    <w:rsid w:val="00CE1801"/>
    <w:rsid w:val="00CE245D"/>
    <w:rsid w:val="00CE2A89"/>
    <w:rsid w:val="00CE2FB5"/>
    <w:rsid w:val="00CE3116"/>
    <w:rsid w:val="00CE311B"/>
    <w:rsid w:val="00CE366D"/>
    <w:rsid w:val="00CE3D55"/>
    <w:rsid w:val="00CE434E"/>
    <w:rsid w:val="00CE44CE"/>
    <w:rsid w:val="00CE49A5"/>
    <w:rsid w:val="00CE4A64"/>
    <w:rsid w:val="00CE5199"/>
    <w:rsid w:val="00CE5305"/>
    <w:rsid w:val="00CE547B"/>
    <w:rsid w:val="00CE59DE"/>
    <w:rsid w:val="00CE5A44"/>
    <w:rsid w:val="00CE5D46"/>
    <w:rsid w:val="00CE62E0"/>
    <w:rsid w:val="00CE66D5"/>
    <w:rsid w:val="00CE672C"/>
    <w:rsid w:val="00CE69CE"/>
    <w:rsid w:val="00CE6D06"/>
    <w:rsid w:val="00CE7C68"/>
    <w:rsid w:val="00CE7F4A"/>
    <w:rsid w:val="00CF012B"/>
    <w:rsid w:val="00CF02D8"/>
    <w:rsid w:val="00CF02DB"/>
    <w:rsid w:val="00CF0417"/>
    <w:rsid w:val="00CF0811"/>
    <w:rsid w:val="00CF102F"/>
    <w:rsid w:val="00CF17D4"/>
    <w:rsid w:val="00CF1FAC"/>
    <w:rsid w:val="00CF21F2"/>
    <w:rsid w:val="00CF29AF"/>
    <w:rsid w:val="00CF2B4C"/>
    <w:rsid w:val="00CF2D2D"/>
    <w:rsid w:val="00CF2E26"/>
    <w:rsid w:val="00CF3144"/>
    <w:rsid w:val="00CF351C"/>
    <w:rsid w:val="00CF45D6"/>
    <w:rsid w:val="00CF4A54"/>
    <w:rsid w:val="00CF4AC1"/>
    <w:rsid w:val="00CF4EE8"/>
    <w:rsid w:val="00CF4F4B"/>
    <w:rsid w:val="00CF51D1"/>
    <w:rsid w:val="00CF5346"/>
    <w:rsid w:val="00CF55F9"/>
    <w:rsid w:val="00CF5907"/>
    <w:rsid w:val="00CF5A32"/>
    <w:rsid w:val="00CF5B9C"/>
    <w:rsid w:val="00CF5C49"/>
    <w:rsid w:val="00CF637A"/>
    <w:rsid w:val="00CF6754"/>
    <w:rsid w:val="00CF6787"/>
    <w:rsid w:val="00CF6DE7"/>
    <w:rsid w:val="00CF7A42"/>
    <w:rsid w:val="00CF7E17"/>
    <w:rsid w:val="00D0014F"/>
    <w:rsid w:val="00D00383"/>
    <w:rsid w:val="00D00736"/>
    <w:rsid w:val="00D0086F"/>
    <w:rsid w:val="00D00928"/>
    <w:rsid w:val="00D00A36"/>
    <w:rsid w:val="00D00C12"/>
    <w:rsid w:val="00D010CF"/>
    <w:rsid w:val="00D012EE"/>
    <w:rsid w:val="00D0175B"/>
    <w:rsid w:val="00D01BBD"/>
    <w:rsid w:val="00D01FD1"/>
    <w:rsid w:val="00D020E1"/>
    <w:rsid w:val="00D02555"/>
    <w:rsid w:val="00D02DB7"/>
    <w:rsid w:val="00D032C7"/>
    <w:rsid w:val="00D03CA4"/>
    <w:rsid w:val="00D03E7E"/>
    <w:rsid w:val="00D03F26"/>
    <w:rsid w:val="00D04259"/>
    <w:rsid w:val="00D044BD"/>
    <w:rsid w:val="00D046C4"/>
    <w:rsid w:val="00D04F27"/>
    <w:rsid w:val="00D052B4"/>
    <w:rsid w:val="00D05582"/>
    <w:rsid w:val="00D05894"/>
    <w:rsid w:val="00D059DE"/>
    <w:rsid w:val="00D062FF"/>
    <w:rsid w:val="00D063AD"/>
    <w:rsid w:val="00D066BF"/>
    <w:rsid w:val="00D068DE"/>
    <w:rsid w:val="00D0706F"/>
    <w:rsid w:val="00D078F2"/>
    <w:rsid w:val="00D07CD3"/>
    <w:rsid w:val="00D108E9"/>
    <w:rsid w:val="00D10E07"/>
    <w:rsid w:val="00D10F5B"/>
    <w:rsid w:val="00D1165D"/>
    <w:rsid w:val="00D11A5E"/>
    <w:rsid w:val="00D11BF0"/>
    <w:rsid w:val="00D11DCC"/>
    <w:rsid w:val="00D1255D"/>
    <w:rsid w:val="00D12665"/>
    <w:rsid w:val="00D12CAB"/>
    <w:rsid w:val="00D12EFE"/>
    <w:rsid w:val="00D13D09"/>
    <w:rsid w:val="00D13FCE"/>
    <w:rsid w:val="00D14699"/>
    <w:rsid w:val="00D149F1"/>
    <w:rsid w:val="00D14C91"/>
    <w:rsid w:val="00D14D4D"/>
    <w:rsid w:val="00D14D5F"/>
    <w:rsid w:val="00D14ECA"/>
    <w:rsid w:val="00D14F16"/>
    <w:rsid w:val="00D1514C"/>
    <w:rsid w:val="00D15239"/>
    <w:rsid w:val="00D15325"/>
    <w:rsid w:val="00D15433"/>
    <w:rsid w:val="00D158D0"/>
    <w:rsid w:val="00D15EC3"/>
    <w:rsid w:val="00D15F59"/>
    <w:rsid w:val="00D162A1"/>
    <w:rsid w:val="00D163F2"/>
    <w:rsid w:val="00D16487"/>
    <w:rsid w:val="00D1653B"/>
    <w:rsid w:val="00D166BA"/>
    <w:rsid w:val="00D167FE"/>
    <w:rsid w:val="00D17308"/>
    <w:rsid w:val="00D173C6"/>
    <w:rsid w:val="00D17482"/>
    <w:rsid w:val="00D17CC0"/>
    <w:rsid w:val="00D200F6"/>
    <w:rsid w:val="00D20226"/>
    <w:rsid w:val="00D202AC"/>
    <w:rsid w:val="00D20A44"/>
    <w:rsid w:val="00D20AB9"/>
    <w:rsid w:val="00D20BD7"/>
    <w:rsid w:val="00D20D0E"/>
    <w:rsid w:val="00D20FB9"/>
    <w:rsid w:val="00D2116F"/>
    <w:rsid w:val="00D211CE"/>
    <w:rsid w:val="00D21320"/>
    <w:rsid w:val="00D215AA"/>
    <w:rsid w:val="00D21876"/>
    <w:rsid w:val="00D21891"/>
    <w:rsid w:val="00D21966"/>
    <w:rsid w:val="00D21A95"/>
    <w:rsid w:val="00D21D43"/>
    <w:rsid w:val="00D21DB7"/>
    <w:rsid w:val="00D21F40"/>
    <w:rsid w:val="00D22010"/>
    <w:rsid w:val="00D226F1"/>
    <w:rsid w:val="00D2281E"/>
    <w:rsid w:val="00D22E8A"/>
    <w:rsid w:val="00D22EE5"/>
    <w:rsid w:val="00D2333E"/>
    <w:rsid w:val="00D2360B"/>
    <w:rsid w:val="00D236A7"/>
    <w:rsid w:val="00D2399B"/>
    <w:rsid w:val="00D239E9"/>
    <w:rsid w:val="00D2474D"/>
    <w:rsid w:val="00D248F7"/>
    <w:rsid w:val="00D24A7F"/>
    <w:rsid w:val="00D24EFB"/>
    <w:rsid w:val="00D251F2"/>
    <w:rsid w:val="00D25974"/>
    <w:rsid w:val="00D25DA5"/>
    <w:rsid w:val="00D25E53"/>
    <w:rsid w:val="00D26301"/>
    <w:rsid w:val="00D2665A"/>
    <w:rsid w:val="00D26A84"/>
    <w:rsid w:val="00D26D2F"/>
    <w:rsid w:val="00D26EFF"/>
    <w:rsid w:val="00D27497"/>
    <w:rsid w:val="00D27665"/>
    <w:rsid w:val="00D27700"/>
    <w:rsid w:val="00D27B53"/>
    <w:rsid w:val="00D302DD"/>
    <w:rsid w:val="00D304CB"/>
    <w:rsid w:val="00D306D1"/>
    <w:rsid w:val="00D306F3"/>
    <w:rsid w:val="00D308F8"/>
    <w:rsid w:val="00D30DD0"/>
    <w:rsid w:val="00D31642"/>
    <w:rsid w:val="00D31674"/>
    <w:rsid w:val="00D32002"/>
    <w:rsid w:val="00D32009"/>
    <w:rsid w:val="00D32082"/>
    <w:rsid w:val="00D324B3"/>
    <w:rsid w:val="00D329C8"/>
    <w:rsid w:val="00D32C8A"/>
    <w:rsid w:val="00D33614"/>
    <w:rsid w:val="00D33852"/>
    <w:rsid w:val="00D33903"/>
    <w:rsid w:val="00D33AF6"/>
    <w:rsid w:val="00D33E17"/>
    <w:rsid w:val="00D34291"/>
    <w:rsid w:val="00D343B8"/>
    <w:rsid w:val="00D34786"/>
    <w:rsid w:val="00D34E46"/>
    <w:rsid w:val="00D34E8F"/>
    <w:rsid w:val="00D34EC4"/>
    <w:rsid w:val="00D35829"/>
    <w:rsid w:val="00D35966"/>
    <w:rsid w:val="00D35F36"/>
    <w:rsid w:val="00D35F98"/>
    <w:rsid w:val="00D3633F"/>
    <w:rsid w:val="00D363CB"/>
    <w:rsid w:val="00D364BB"/>
    <w:rsid w:val="00D367BC"/>
    <w:rsid w:val="00D3681A"/>
    <w:rsid w:val="00D36DC7"/>
    <w:rsid w:val="00D3710A"/>
    <w:rsid w:val="00D373D6"/>
    <w:rsid w:val="00D373F6"/>
    <w:rsid w:val="00D3796E"/>
    <w:rsid w:val="00D37B53"/>
    <w:rsid w:val="00D40168"/>
    <w:rsid w:val="00D4075D"/>
    <w:rsid w:val="00D409A3"/>
    <w:rsid w:val="00D41BBF"/>
    <w:rsid w:val="00D41DC9"/>
    <w:rsid w:val="00D423C4"/>
    <w:rsid w:val="00D42D45"/>
    <w:rsid w:val="00D43262"/>
    <w:rsid w:val="00D432DB"/>
    <w:rsid w:val="00D43835"/>
    <w:rsid w:val="00D43A4E"/>
    <w:rsid w:val="00D44110"/>
    <w:rsid w:val="00D44154"/>
    <w:rsid w:val="00D44D1C"/>
    <w:rsid w:val="00D4505B"/>
    <w:rsid w:val="00D455DD"/>
    <w:rsid w:val="00D45802"/>
    <w:rsid w:val="00D4610B"/>
    <w:rsid w:val="00D4628A"/>
    <w:rsid w:val="00D46A1F"/>
    <w:rsid w:val="00D46B2C"/>
    <w:rsid w:val="00D46D5C"/>
    <w:rsid w:val="00D47289"/>
    <w:rsid w:val="00D47537"/>
    <w:rsid w:val="00D47A8E"/>
    <w:rsid w:val="00D47E7A"/>
    <w:rsid w:val="00D500F8"/>
    <w:rsid w:val="00D5022E"/>
    <w:rsid w:val="00D503BF"/>
    <w:rsid w:val="00D506C4"/>
    <w:rsid w:val="00D50CF0"/>
    <w:rsid w:val="00D50D9E"/>
    <w:rsid w:val="00D50E69"/>
    <w:rsid w:val="00D51229"/>
    <w:rsid w:val="00D51633"/>
    <w:rsid w:val="00D51F61"/>
    <w:rsid w:val="00D5202C"/>
    <w:rsid w:val="00D522C4"/>
    <w:rsid w:val="00D524E7"/>
    <w:rsid w:val="00D52C6D"/>
    <w:rsid w:val="00D52D14"/>
    <w:rsid w:val="00D531E3"/>
    <w:rsid w:val="00D538AD"/>
    <w:rsid w:val="00D5390E"/>
    <w:rsid w:val="00D53DEB"/>
    <w:rsid w:val="00D543A9"/>
    <w:rsid w:val="00D5477A"/>
    <w:rsid w:val="00D54D5C"/>
    <w:rsid w:val="00D550AF"/>
    <w:rsid w:val="00D553E1"/>
    <w:rsid w:val="00D55868"/>
    <w:rsid w:val="00D55A37"/>
    <w:rsid w:val="00D5619A"/>
    <w:rsid w:val="00D5621D"/>
    <w:rsid w:val="00D5671A"/>
    <w:rsid w:val="00D57276"/>
    <w:rsid w:val="00D5747F"/>
    <w:rsid w:val="00D57732"/>
    <w:rsid w:val="00D57E70"/>
    <w:rsid w:val="00D6022F"/>
    <w:rsid w:val="00D60299"/>
    <w:rsid w:val="00D603D4"/>
    <w:rsid w:val="00D60518"/>
    <w:rsid w:val="00D60CA1"/>
    <w:rsid w:val="00D60F3A"/>
    <w:rsid w:val="00D61041"/>
    <w:rsid w:val="00D612F9"/>
    <w:rsid w:val="00D616FB"/>
    <w:rsid w:val="00D61CF7"/>
    <w:rsid w:val="00D6214E"/>
    <w:rsid w:val="00D6288F"/>
    <w:rsid w:val="00D62C33"/>
    <w:rsid w:val="00D62D3D"/>
    <w:rsid w:val="00D62EE3"/>
    <w:rsid w:val="00D6345A"/>
    <w:rsid w:val="00D63D41"/>
    <w:rsid w:val="00D6401D"/>
    <w:rsid w:val="00D64185"/>
    <w:rsid w:val="00D64202"/>
    <w:rsid w:val="00D645AE"/>
    <w:rsid w:val="00D64A85"/>
    <w:rsid w:val="00D64E6C"/>
    <w:rsid w:val="00D64FF2"/>
    <w:rsid w:val="00D64FFE"/>
    <w:rsid w:val="00D652B5"/>
    <w:rsid w:val="00D65495"/>
    <w:rsid w:val="00D65BF8"/>
    <w:rsid w:val="00D65F09"/>
    <w:rsid w:val="00D66426"/>
    <w:rsid w:val="00D664FC"/>
    <w:rsid w:val="00D66A14"/>
    <w:rsid w:val="00D66B72"/>
    <w:rsid w:val="00D67008"/>
    <w:rsid w:val="00D6729B"/>
    <w:rsid w:val="00D67CC4"/>
    <w:rsid w:val="00D70810"/>
    <w:rsid w:val="00D70952"/>
    <w:rsid w:val="00D71233"/>
    <w:rsid w:val="00D712D3"/>
    <w:rsid w:val="00D71422"/>
    <w:rsid w:val="00D7151E"/>
    <w:rsid w:val="00D71A36"/>
    <w:rsid w:val="00D724ED"/>
    <w:rsid w:val="00D7257D"/>
    <w:rsid w:val="00D72582"/>
    <w:rsid w:val="00D72DC6"/>
    <w:rsid w:val="00D730DB"/>
    <w:rsid w:val="00D7337D"/>
    <w:rsid w:val="00D73BC8"/>
    <w:rsid w:val="00D73D84"/>
    <w:rsid w:val="00D7463D"/>
    <w:rsid w:val="00D74BA2"/>
    <w:rsid w:val="00D74D79"/>
    <w:rsid w:val="00D7519B"/>
    <w:rsid w:val="00D752E8"/>
    <w:rsid w:val="00D7558D"/>
    <w:rsid w:val="00D758B9"/>
    <w:rsid w:val="00D75997"/>
    <w:rsid w:val="00D75E0D"/>
    <w:rsid w:val="00D75FAD"/>
    <w:rsid w:val="00D7603D"/>
    <w:rsid w:val="00D7609D"/>
    <w:rsid w:val="00D76222"/>
    <w:rsid w:val="00D76409"/>
    <w:rsid w:val="00D76469"/>
    <w:rsid w:val="00D766AD"/>
    <w:rsid w:val="00D7682C"/>
    <w:rsid w:val="00D7684D"/>
    <w:rsid w:val="00D76A3C"/>
    <w:rsid w:val="00D76B90"/>
    <w:rsid w:val="00D77087"/>
    <w:rsid w:val="00D7724D"/>
    <w:rsid w:val="00D77E3E"/>
    <w:rsid w:val="00D80196"/>
    <w:rsid w:val="00D80B10"/>
    <w:rsid w:val="00D80BAC"/>
    <w:rsid w:val="00D810A9"/>
    <w:rsid w:val="00D810EB"/>
    <w:rsid w:val="00D81198"/>
    <w:rsid w:val="00D81D92"/>
    <w:rsid w:val="00D81DB1"/>
    <w:rsid w:val="00D8270C"/>
    <w:rsid w:val="00D828B3"/>
    <w:rsid w:val="00D82F90"/>
    <w:rsid w:val="00D832DD"/>
    <w:rsid w:val="00D8336D"/>
    <w:rsid w:val="00D83493"/>
    <w:rsid w:val="00D83533"/>
    <w:rsid w:val="00D837C5"/>
    <w:rsid w:val="00D84457"/>
    <w:rsid w:val="00D8456A"/>
    <w:rsid w:val="00D8460F"/>
    <w:rsid w:val="00D84D35"/>
    <w:rsid w:val="00D84F1F"/>
    <w:rsid w:val="00D85115"/>
    <w:rsid w:val="00D8598F"/>
    <w:rsid w:val="00D85BCD"/>
    <w:rsid w:val="00D85D3C"/>
    <w:rsid w:val="00D85EAB"/>
    <w:rsid w:val="00D85EF7"/>
    <w:rsid w:val="00D86479"/>
    <w:rsid w:val="00D86926"/>
    <w:rsid w:val="00D86B6A"/>
    <w:rsid w:val="00D86C32"/>
    <w:rsid w:val="00D86C80"/>
    <w:rsid w:val="00D870D0"/>
    <w:rsid w:val="00D871DD"/>
    <w:rsid w:val="00D87369"/>
    <w:rsid w:val="00D8739D"/>
    <w:rsid w:val="00D87686"/>
    <w:rsid w:val="00D878B9"/>
    <w:rsid w:val="00D87BF1"/>
    <w:rsid w:val="00D900B7"/>
    <w:rsid w:val="00D90284"/>
    <w:rsid w:val="00D906FD"/>
    <w:rsid w:val="00D90CDF"/>
    <w:rsid w:val="00D91193"/>
    <w:rsid w:val="00D91266"/>
    <w:rsid w:val="00D91882"/>
    <w:rsid w:val="00D91B65"/>
    <w:rsid w:val="00D91DF1"/>
    <w:rsid w:val="00D91E4A"/>
    <w:rsid w:val="00D91F0B"/>
    <w:rsid w:val="00D92701"/>
    <w:rsid w:val="00D927A3"/>
    <w:rsid w:val="00D928B6"/>
    <w:rsid w:val="00D9291F"/>
    <w:rsid w:val="00D92C49"/>
    <w:rsid w:val="00D92CC8"/>
    <w:rsid w:val="00D9324C"/>
    <w:rsid w:val="00D938BF"/>
    <w:rsid w:val="00D9413C"/>
    <w:rsid w:val="00D946C8"/>
    <w:rsid w:val="00D9479F"/>
    <w:rsid w:val="00D94887"/>
    <w:rsid w:val="00D94A3B"/>
    <w:rsid w:val="00D957DD"/>
    <w:rsid w:val="00D95A66"/>
    <w:rsid w:val="00D95CAC"/>
    <w:rsid w:val="00D95CF9"/>
    <w:rsid w:val="00D961AB"/>
    <w:rsid w:val="00D967D0"/>
    <w:rsid w:val="00D96C19"/>
    <w:rsid w:val="00D96E10"/>
    <w:rsid w:val="00D9739F"/>
    <w:rsid w:val="00D97446"/>
    <w:rsid w:val="00D974F6"/>
    <w:rsid w:val="00D9757F"/>
    <w:rsid w:val="00D9763D"/>
    <w:rsid w:val="00D9793C"/>
    <w:rsid w:val="00D97B6E"/>
    <w:rsid w:val="00DA05DA"/>
    <w:rsid w:val="00DA080E"/>
    <w:rsid w:val="00DA0ACA"/>
    <w:rsid w:val="00DA0B90"/>
    <w:rsid w:val="00DA0CF1"/>
    <w:rsid w:val="00DA10EA"/>
    <w:rsid w:val="00DA126C"/>
    <w:rsid w:val="00DA138B"/>
    <w:rsid w:val="00DA14C8"/>
    <w:rsid w:val="00DA14E2"/>
    <w:rsid w:val="00DA1783"/>
    <w:rsid w:val="00DA1993"/>
    <w:rsid w:val="00DA2039"/>
    <w:rsid w:val="00DA2351"/>
    <w:rsid w:val="00DA2675"/>
    <w:rsid w:val="00DA28AB"/>
    <w:rsid w:val="00DA2C92"/>
    <w:rsid w:val="00DA2FBF"/>
    <w:rsid w:val="00DA3047"/>
    <w:rsid w:val="00DA3641"/>
    <w:rsid w:val="00DA380D"/>
    <w:rsid w:val="00DA3C27"/>
    <w:rsid w:val="00DA3DFC"/>
    <w:rsid w:val="00DA3F22"/>
    <w:rsid w:val="00DA4372"/>
    <w:rsid w:val="00DA451E"/>
    <w:rsid w:val="00DA4592"/>
    <w:rsid w:val="00DA59AB"/>
    <w:rsid w:val="00DA5F5C"/>
    <w:rsid w:val="00DA5F77"/>
    <w:rsid w:val="00DA5FD7"/>
    <w:rsid w:val="00DA6D54"/>
    <w:rsid w:val="00DA7111"/>
    <w:rsid w:val="00DA7A19"/>
    <w:rsid w:val="00DA7B5F"/>
    <w:rsid w:val="00DA7BF2"/>
    <w:rsid w:val="00DA7EE8"/>
    <w:rsid w:val="00DB00A0"/>
    <w:rsid w:val="00DB0A25"/>
    <w:rsid w:val="00DB11C3"/>
    <w:rsid w:val="00DB1255"/>
    <w:rsid w:val="00DB1335"/>
    <w:rsid w:val="00DB1657"/>
    <w:rsid w:val="00DB1767"/>
    <w:rsid w:val="00DB1843"/>
    <w:rsid w:val="00DB2856"/>
    <w:rsid w:val="00DB2A6D"/>
    <w:rsid w:val="00DB2B41"/>
    <w:rsid w:val="00DB32E8"/>
    <w:rsid w:val="00DB330D"/>
    <w:rsid w:val="00DB3563"/>
    <w:rsid w:val="00DB3618"/>
    <w:rsid w:val="00DB397C"/>
    <w:rsid w:val="00DB3EE1"/>
    <w:rsid w:val="00DB4292"/>
    <w:rsid w:val="00DB464B"/>
    <w:rsid w:val="00DB50A5"/>
    <w:rsid w:val="00DB567E"/>
    <w:rsid w:val="00DB5A76"/>
    <w:rsid w:val="00DB5C1D"/>
    <w:rsid w:val="00DB65EC"/>
    <w:rsid w:val="00DB69E7"/>
    <w:rsid w:val="00DB6BC5"/>
    <w:rsid w:val="00DB6CA2"/>
    <w:rsid w:val="00DB7AEB"/>
    <w:rsid w:val="00DC0183"/>
    <w:rsid w:val="00DC01D2"/>
    <w:rsid w:val="00DC0482"/>
    <w:rsid w:val="00DC0551"/>
    <w:rsid w:val="00DC0767"/>
    <w:rsid w:val="00DC0D80"/>
    <w:rsid w:val="00DC11E7"/>
    <w:rsid w:val="00DC140D"/>
    <w:rsid w:val="00DC1A2E"/>
    <w:rsid w:val="00DC1B5B"/>
    <w:rsid w:val="00DC1D18"/>
    <w:rsid w:val="00DC1E9C"/>
    <w:rsid w:val="00DC2392"/>
    <w:rsid w:val="00DC2B87"/>
    <w:rsid w:val="00DC337C"/>
    <w:rsid w:val="00DC3981"/>
    <w:rsid w:val="00DC4351"/>
    <w:rsid w:val="00DC435F"/>
    <w:rsid w:val="00DC499C"/>
    <w:rsid w:val="00DC5066"/>
    <w:rsid w:val="00DC51CC"/>
    <w:rsid w:val="00DC51DD"/>
    <w:rsid w:val="00DC5C29"/>
    <w:rsid w:val="00DC6095"/>
    <w:rsid w:val="00DC61EE"/>
    <w:rsid w:val="00DC672D"/>
    <w:rsid w:val="00DC6783"/>
    <w:rsid w:val="00DC67B2"/>
    <w:rsid w:val="00DC6B69"/>
    <w:rsid w:val="00DC6F0A"/>
    <w:rsid w:val="00DC6F6C"/>
    <w:rsid w:val="00DC6F7C"/>
    <w:rsid w:val="00DC7023"/>
    <w:rsid w:val="00DC769A"/>
    <w:rsid w:val="00DC7E66"/>
    <w:rsid w:val="00DD063E"/>
    <w:rsid w:val="00DD0888"/>
    <w:rsid w:val="00DD0BBA"/>
    <w:rsid w:val="00DD0E82"/>
    <w:rsid w:val="00DD1443"/>
    <w:rsid w:val="00DD20AE"/>
    <w:rsid w:val="00DD2142"/>
    <w:rsid w:val="00DD24ED"/>
    <w:rsid w:val="00DD2FAB"/>
    <w:rsid w:val="00DD31F9"/>
    <w:rsid w:val="00DD3D86"/>
    <w:rsid w:val="00DD3E65"/>
    <w:rsid w:val="00DD410F"/>
    <w:rsid w:val="00DD4712"/>
    <w:rsid w:val="00DD4857"/>
    <w:rsid w:val="00DD49CF"/>
    <w:rsid w:val="00DD4AEE"/>
    <w:rsid w:val="00DD4C4D"/>
    <w:rsid w:val="00DD5895"/>
    <w:rsid w:val="00DD5B44"/>
    <w:rsid w:val="00DD5BBB"/>
    <w:rsid w:val="00DD65CF"/>
    <w:rsid w:val="00DD684B"/>
    <w:rsid w:val="00DD6B3B"/>
    <w:rsid w:val="00DD6D14"/>
    <w:rsid w:val="00DD6D40"/>
    <w:rsid w:val="00DD6D92"/>
    <w:rsid w:val="00DD6F74"/>
    <w:rsid w:val="00DD70D2"/>
    <w:rsid w:val="00DD730D"/>
    <w:rsid w:val="00DD7684"/>
    <w:rsid w:val="00DE02F3"/>
    <w:rsid w:val="00DE07D2"/>
    <w:rsid w:val="00DE07E4"/>
    <w:rsid w:val="00DE08F6"/>
    <w:rsid w:val="00DE09A1"/>
    <w:rsid w:val="00DE09A5"/>
    <w:rsid w:val="00DE0A59"/>
    <w:rsid w:val="00DE1353"/>
    <w:rsid w:val="00DE21FB"/>
    <w:rsid w:val="00DE2229"/>
    <w:rsid w:val="00DE2387"/>
    <w:rsid w:val="00DE26A0"/>
    <w:rsid w:val="00DE2805"/>
    <w:rsid w:val="00DE2B9E"/>
    <w:rsid w:val="00DE2DCE"/>
    <w:rsid w:val="00DE30FA"/>
    <w:rsid w:val="00DE3991"/>
    <w:rsid w:val="00DE4453"/>
    <w:rsid w:val="00DE449B"/>
    <w:rsid w:val="00DE499B"/>
    <w:rsid w:val="00DE4C67"/>
    <w:rsid w:val="00DE4D69"/>
    <w:rsid w:val="00DE4EC3"/>
    <w:rsid w:val="00DE545F"/>
    <w:rsid w:val="00DE56F7"/>
    <w:rsid w:val="00DE59B5"/>
    <w:rsid w:val="00DE610F"/>
    <w:rsid w:val="00DE643E"/>
    <w:rsid w:val="00DE6C28"/>
    <w:rsid w:val="00DE6CA6"/>
    <w:rsid w:val="00DE70AC"/>
    <w:rsid w:val="00DE710B"/>
    <w:rsid w:val="00DE7267"/>
    <w:rsid w:val="00DE792A"/>
    <w:rsid w:val="00DF01D3"/>
    <w:rsid w:val="00DF087C"/>
    <w:rsid w:val="00DF0C1C"/>
    <w:rsid w:val="00DF0F2C"/>
    <w:rsid w:val="00DF0FC5"/>
    <w:rsid w:val="00DF13ED"/>
    <w:rsid w:val="00DF1593"/>
    <w:rsid w:val="00DF1957"/>
    <w:rsid w:val="00DF1B4B"/>
    <w:rsid w:val="00DF1BCE"/>
    <w:rsid w:val="00DF1C84"/>
    <w:rsid w:val="00DF203B"/>
    <w:rsid w:val="00DF26AA"/>
    <w:rsid w:val="00DF2C04"/>
    <w:rsid w:val="00DF2CDA"/>
    <w:rsid w:val="00DF2D7E"/>
    <w:rsid w:val="00DF34DF"/>
    <w:rsid w:val="00DF36A5"/>
    <w:rsid w:val="00DF3BCF"/>
    <w:rsid w:val="00DF41C7"/>
    <w:rsid w:val="00DF432E"/>
    <w:rsid w:val="00DF4797"/>
    <w:rsid w:val="00DF4976"/>
    <w:rsid w:val="00DF4BDC"/>
    <w:rsid w:val="00DF4DC3"/>
    <w:rsid w:val="00DF50FC"/>
    <w:rsid w:val="00DF5814"/>
    <w:rsid w:val="00DF5B6E"/>
    <w:rsid w:val="00DF5E7D"/>
    <w:rsid w:val="00DF6137"/>
    <w:rsid w:val="00DF640C"/>
    <w:rsid w:val="00DF6541"/>
    <w:rsid w:val="00DF66C9"/>
    <w:rsid w:val="00DF6B3C"/>
    <w:rsid w:val="00DF6D65"/>
    <w:rsid w:val="00DF6EE0"/>
    <w:rsid w:val="00DF7034"/>
    <w:rsid w:val="00DF7740"/>
    <w:rsid w:val="00E0018F"/>
    <w:rsid w:val="00E00575"/>
    <w:rsid w:val="00E007B6"/>
    <w:rsid w:val="00E00943"/>
    <w:rsid w:val="00E00BED"/>
    <w:rsid w:val="00E00E8B"/>
    <w:rsid w:val="00E010A5"/>
    <w:rsid w:val="00E011A7"/>
    <w:rsid w:val="00E01699"/>
    <w:rsid w:val="00E01E90"/>
    <w:rsid w:val="00E01F68"/>
    <w:rsid w:val="00E0225F"/>
    <w:rsid w:val="00E0238B"/>
    <w:rsid w:val="00E025B6"/>
    <w:rsid w:val="00E02D81"/>
    <w:rsid w:val="00E02F88"/>
    <w:rsid w:val="00E02F8F"/>
    <w:rsid w:val="00E03338"/>
    <w:rsid w:val="00E0340B"/>
    <w:rsid w:val="00E03579"/>
    <w:rsid w:val="00E039F5"/>
    <w:rsid w:val="00E03C99"/>
    <w:rsid w:val="00E03D10"/>
    <w:rsid w:val="00E03E6D"/>
    <w:rsid w:val="00E04626"/>
    <w:rsid w:val="00E04B90"/>
    <w:rsid w:val="00E0507A"/>
    <w:rsid w:val="00E050D2"/>
    <w:rsid w:val="00E05117"/>
    <w:rsid w:val="00E05283"/>
    <w:rsid w:val="00E0542D"/>
    <w:rsid w:val="00E054BE"/>
    <w:rsid w:val="00E05590"/>
    <w:rsid w:val="00E05839"/>
    <w:rsid w:val="00E05963"/>
    <w:rsid w:val="00E05DD4"/>
    <w:rsid w:val="00E060A3"/>
    <w:rsid w:val="00E060A5"/>
    <w:rsid w:val="00E063A7"/>
    <w:rsid w:val="00E06482"/>
    <w:rsid w:val="00E06600"/>
    <w:rsid w:val="00E06907"/>
    <w:rsid w:val="00E06BB8"/>
    <w:rsid w:val="00E07283"/>
    <w:rsid w:val="00E073AA"/>
    <w:rsid w:val="00E07432"/>
    <w:rsid w:val="00E07651"/>
    <w:rsid w:val="00E07921"/>
    <w:rsid w:val="00E07A00"/>
    <w:rsid w:val="00E07BDD"/>
    <w:rsid w:val="00E07E9F"/>
    <w:rsid w:val="00E07F44"/>
    <w:rsid w:val="00E07FFB"/>
    <w:rsid w:val="00E100AC"/>
    <w:rsid w:val="00E1010A"/>
    <w:rsid w:val="00E10211"/>
    <w:rsid w:val="00E10B87"/>
    <w:rsid w:val="00E11263"/>
    <w:rsid w:val="00E113FD"/>
    <w:rsid w:val="00E11C7C"/>
    <w:rsid w:val="00E11E8B"/>
    <w:rsid w:val="00E11EFC"/>
    <w:rsid w:val="00E12008"/>
    <w:rsid w:val="00E129DA"/>
    <w:rsid w:val="00E12D6E"/>
    <w:rsid w:val="00E12FA4"/>
    <w:rsid w:val="00E1329F"/>
    <w:rsid w:val="00E132E4"/>
    <w:rsid w:val="00E1365D"/>
    <w:rsid w:val="00E138C0"/>
    <w:rsid w:val="00E13D83"/>
    <w:rsid w:val="00E13DE9"/>
    <w:rsid w:val="00E13E50"/>
    <w:rsid w:val="00E140CF"/>
    <w:rsid w:val="00E149A2"/>
    <w:rsid w:val="00E14A07"/>
    <w:rsid w:val="00E14F9B"/>
    <w:rsid w:val="00E151FF"/>
    <w:rsid w:val="00E1541F"/>
    <w:rsid w:val="00E15452"/>
    <w:rsid w:val="00E15B38"/>
    <w:rsid w:val="00E15D53"/>
    <w:rsid w:val="00E15E74"/>
    <w:rsid w:val="00E161B6"/>
    <w:rsid w:val="00E166A0"/>
    <w:rsid w:val="00E16752"/>
    <w:rsid w:val="00E168F4"/>
    <w:rsid w:val="00E16A50"/>
    <w:rsid w:val="00E16D17"/>
    <w:rsid w:val="00E17B93"/>
    <w:rsid w:val="00E202A3"/>
    <w:rsid w:val="00E20355"/>
    <w:rsid w:val="00E20589"/>
    <w:rsid w:val="00E206A7"/>
    <w:rsid w:val="00E209A8"/>
    <w:rsid w:val="00E209C9"/>
    <w:rsid w:val="00E20E99"/>
    <w:rsid w:val="00E20EBA"/>
    <w:rsid w:val="00E21558"/>
    <w:rsid w:val="00E216FE"/>
    <w:rsid w:val="00E2197C"/>
    <w:rsid w:val="00E219C7"/>
    <w:rsid w:val="00E21F0D"/>
    <w:rsid w:val="00E22085"/>
    <w:rsid w:val="00E2257A"/>
    <w:rsid w:val="00E2265D"/>
    <w:rsid w:val="00E226AD"/>
    <w:rsid w:val="00E228AB"/>
    <w:rsid w:val="00E2332B"/>
    <w:rsid w:val="00E236F6"/>
    <w:rsid w:val="00E239AD"/>
    <w:rsid w:val="00E23E3D"/>
    <w:rsid w:val="00E23EAA"/>
    <w:rsid w:val="00E23FC1"/>
    <w:rsid w:val="00E247B9"/>
    <w:rsid w:val="00E24D17"/>
    <w:rsid w:val="00E24E60"/>
    <w:rsid w:val="00E25B14"/>
    <w:rsid w:val="00E26C3D"/>
    <w:rsid w:val="00E2717A"/>
    <w:rsid w:val="00E27B5E"/>
    <w:rsid w:val="00E27C22"/>
    <w:rsid w:val="00E27E1F"/>
    <w:rsid w:val="00E30427"/>
    <w:rsid w:val="00E30B8F"/>
    <w:rsid w:val="00E31199"/>
    <w:rsid w:val="00E3130F"/>
    <w:rsid w:val="00E31324"/>
    <w:rsid w:val="00E3162A"/>
    <w:rsid w:val="00E3229C"/>
    <w:rsid w:val="00E3282D"/>
    <w:rsid w:val="00E32E6B"/>
    <w:rsid w:val="00E3337C"/>
    <w:rsid w:val="00E334EE"/>
    <w:rsid w:val="00E34447"/>
    <w:rsid w:val="00E349F8"/>
    <w:rsid w:val="00E34B4D"/>
    <w:rsid w:val="00E34B77"/>
    <w:rsid w:val="00E34E0F"/>
    <w:rsid w:val="00E34F67"/>
    <w:rsid w:val="00E34F86"/>
    <w:rsid w:val="00E35456"/>
    <w:rsid w:val="00E3569E"/>
    <w:rsid w:val="00E35C6A"/>
    <w:rsid w:val="00E35F67"/>
    <w:rsid w:val="00E36321"/>
    <w:rsid w:val="00E3633E"/>
    <w:rsid w:val="00E3643F"/>
    <w:rsid w:val="00E36709"/>
    <w:rsid w:val="00E3711F"/>
    <w:rsid w:val="00E375F7"/>
    <w:rsid w:val="00E379FB"/>
    <w:rsid w:val="00E40449"/>
    <w:rsid w:val="00E404DA"/>
    <w:rsid w:val="00E40EAA"/>
    <w:rsid w:val="00E41873"/>
    <w:rsid w:val="00E41A17"/>
    <w:rsid w:val="00E41D6E"/>
    <w:rsid w:val="00E424EB"/>
    <w:rsid w:val="00E42BC5"/>
    <w:rsid w:val="00E42C57"/>
    <w:rsid w:val="00E42DC6"/>
    <w:rsid w:val="00E42DD6"/>
    <w:rsid w:val="00E43157"/>
    <w:rsid w:val="00E43391"/>
    <w:rsid w:val="00E43532"/>
    <w:rsid w:val="00E443D8"/>
    <w:rsid w:val="00E44507"/>
    <w:rsid w:val="00E445C4"/>
    <w:rsid w:val="00E445FA"/>
    <w:rsid w:val="00E4495D"/>
    <w:rsid w:val="00E44A08"/>
    <w:rsid w:val="00E44F1B"/>
    <w:rsid w:val="00E44FB5"/>
    <w:rsid w:val="00E4564E"/>
    <w:rsid w:val="00E45AAF"/>
    <w:rsid w:val="00E45D84"/>
    <w:rsid w:val="00E45EC1"/>
    <w:rsid w:val="00E461CE"/>
    <w:rsid w:val="00E46409"/>
    <w:rsid w:val="00E4688F"/>
    <w:rsid w:val="00E47085"/>
    <w:rsid w:val="00E47274"/>
    <w:rsid w:val="00E475CB"/>
    <w:rsid w:val="00E5027C"/>
    <w:rsid w:val="00E50985"/>
    <w:rsid w:val="00E5098A"/>
    <w:rsid w:val="00E509AD"/>
    <w:rsid w:val="00E50ACD"/>
    <w:rsid w:val="00E5125E"/>
    <w:rsid w:val="00E5183E"/>
    <w:rsid w:val="00E51922"/>
    <w:rsid w:val="00E51CFF"/>
    <w:rsid w:val="00E51F47"/>
    <w:rsid w:val="00E52120"/>
    <w:rsid w:val="00E52295"/>
    <w:rsid w:val="00E52778"/>
    <w:rsid w:val="00E52B0D"/>
    <w:rsid w:val="00E532BF"/>
    <w:rsid w:val="00E53522"/>
    <w:rsid w:val="00E53D65"/>
    <w:rsid w:val="00E54256"/>
    <w:rsid w:val="00E54667"/>
    <w:rsid w:val="00E549E8"/>
    <w:rsid w:val="00E55180"/>
    <w:rsid w:val="00E555A6"/>
    <w:rsid w:val="00E55C9B"/>
    <w:rsid w:val="00E55D70"/>
    <w:rsid w:val="00E56990"/>
    <w:rsid w:val="00E569E4"/>
    <w:rsid w:val="00E56AA3"/>
    <w:rsid w:val="00E571A2"/>
    <w:rsid w:val="00E57951"/>
    <w:rsid w:val="00E57D93"/>
    <w:rsid w:val="00E6041E"/>
    <w:rsid w:val="00E6079F"/>
    <w:rsid w:val="00E60984"/>
    <w:rsid w:val="00E60DCD"/>
    <w:rsid w:val="00E611C5"/>
    <w:rsid w:val="00E6134B"/>
    <w:rsid w:val="00E6166A"/>
    <w:rsid w:val="00E61BAE"/>
    <w:rsid w:val="00E620CE"/>
    <w:rsid w:val="00E620D3"/>
    <w:rsid w:val="00E625E8"/>
    <w:rsid w:val="00E626A4"/>
    <w:rsid w:val="00E6318B"/>
    <w:rsid w:val="00E632A1"/>
    <w:rsid w:val="00E6377D"/>
    <w:rsid w:val="00E638E9"/>
    <w:rsid w:val="00E63F00"/>
    <w:rsid w:val="00E64084"/>
    <w:rsid w:val="00E643A2"/>
    <w:rsid w:val="00E64439"/>
    <w:rsid w:val="00E6483B"/>
    <w:rsid w:val="00E64C50"/>
    <w:rsid w:val="00E64E6F"/>
    <w:rsid w:val="00E64F6D"/>
    <w:rsid w:val="00E65121"/>
    <w:rsid w:val="00E65231"/>
    <w:rsid w:val="00E65686"/>
    <w:rsid w:val="00E6583F"/>
    <w:rsid w:val="00E65D77"/>
    <w:rsid w:val="00E65EEA"/>
    <w:rsid w:val="00E6608B"/>
    <w:rsid w:val="00E671D9"/>
    <w:rsid w:val="00E6751B"/>
    <w:rsid w:val="00E67768"/>
    <w:rsid w:val="00E67D4F"/>
    <w:rsid w:val="00E67FE0"/>
    <w:rsid w:val="00E7107C"/>
    <w:rsid w:val="00E7199C"/>
    <w:rsid w:val="00E71AC7"/>
    <w:rsid w:val="00E71D82"/>
    <w:rsid w:val="00E71EF5"/>
    <w:rsid w:val="00E720CA"/>
    <w:rsid w:val="00E72705"/>
    <w:rsid w:val="00E73324"/>
    <w:rsid w:val="00E73349"/>
    <w:rsid w:val="00E73DA2"/>
    <w:rsid w:val="00E73F34"/>
    <w:rsid w:val="00E746DB"/>
    <w:rsid w:val="00E747BB"/>
    <w:rsid w:val="00E74DC8"/>
    <w:rsid w:val="00E751DA"/>
    <w:rsid w:val="00E752DD"/>
    <w:rsid w:val="00E75431"/>
    <w:rsid w:val="00E75A4B"/>
    <w:rsid w:val="00E763FB"/>
    <w:rsid w:val="00E767F0"/>
    <w:rsid w:val="00E77728"/>
    <w:rsid w:val="00E77E37"/>
    <w:rsid w:val="00E802E4"/>
    <w:rsid w:val="00E80909"/>
    <w:rsid w:val="00E80D57"/>
    <w:rsid w:val="00E80FE4"/>
    <w:rsid w:val="00E81656"/>
    <w:rsid w:val="00E81BF2"/>
    <w:rsid w:val="00E821A1"/>
    <w:rsid w:val="00E822A7"/>
    <w:rsid w:val="00E82893"/>
    <w:rsid w:val="00E82CCE"/>
    <w:rsid w:val="00E82DD9"/>
    <w:rsid w:val="00E830D2"/>
    <w:rsid w:val="00E8354B"/>
    <w:rsid w:val="00E835D2"/>
    <w:rsid w:val="00E83602"/>
    <w:rsid w:val="00E83682"/>
    <w:rsid w:val="00E838BB"/>
    <w:rsid w:val="00E83C3F"/>
    <w:rsid w:val="00E83C71"/>
    <w:rsid w:val="00E83E9D"/>
    <w:rsid w:val="00E83F5C"/>
    <w:rsid w:val="00E840EE"/>
    <w:rsid w:val="00E841AF"/>
    <w:rsid w:val="00E845BC"/>
    <w:rsid w:val="00E84727"/>
    <w:rsid w:val="00E849E5"/>
    <w:rsid w:val="00E84E07"/>
    <w:rsid w:val="00E84EB5"/>
    <w:rsid w:val="00E85662"/>
    <w:rsid w:val="00E85940"/>
    <w:rsid w:val="00E8629D"/>
    <w:rsid w:val="00E86A9C"/>
    <w:rsid w:val="00E86B98"/>
    <w:rsid w:val="00E86C9C"/>
    <w:rsid w:val="00E86D26"/>
    <w:rsid w:val="00E86EDA"/>
    <w:rsid w:val="00E8734C"/>
    <w:rsid w:val="00E8744A"/>
    <w:rsid w:val="00E87899"/>
    <w:rsid w:val="00E8789F"/>
    <w:rsid w:val="00E90613"/>
    <w:rsid w:val="00E9074C"/>
    <w:rsid w:val="00E90AEF"/>
    <w:rsid w:val="00E90B04"/>
    <w:rsid w:val="00E90BF7"/>
    <w:rsid w:val="00E90E1F"/>
    <w:rsid w:val="00E91432"/>
    <w:rsid w:val="00E918FD"/>
    <w:rsid w:val="00E91A0A"/>
    <w:rsid w:val="00E91BB5"/>
    <w:rsid w:val="00E91BED"/>
    <w:rsid w:val="00E91D64"/>
    <w:rsid w:val="00E92441"/>
    <w:rsid w:val="00E9247F"/>
    <w:rsid w:val="00E925A2"/>
    <w:rsid w:val="00E9272C"/>
    <w:rsid w:val="00E92B37"/>
    <w:rsid w:val="00E92C44"/>
    <w:rsid w:val="00E933DD"/>
    <w:rsid w:val="00E93945"/>
    <w:rsid w:val="00E93ACE"/>
    <w:rsid w:val="00E93FD8"/>
    <w:rsid w:val="00E9411E"/>
    <w:rsid w:val="00E943D5"/>
    <w:rsid w:val="00E94A36"/>
    <w:rsid w:val="00E94F83"/>
    <w:rsid w:val="00E9542C"/>
    <w:rsid w:val="00E956AB"/>
    <w:rsid w:val="00E95B4B"/>
    <w:rsid w:val="00E95BE7"/>
    <w:rsid w:val="00E95C05"/>
    <w:rsid w:val="00E95E4E"/>
    <w:rsid w:val="00E960F8"/>
    <w:rsid w:val="00E9637B"/>
    <w:rsid w:val="00E9692A"/>
    <w:rsid w:val="00E96E07"/>
    <w:rsid w:val="00E96E1A"/>
    <w:rsid w:val="00E97B71"/>
    <w:rsid w:val="00E97C19"/>
    <w:rsid w:val="00EA00A7"/>
    <w:rsid w:val="00EA0209"/>
    <w:rsid w:val="00EA030C"/>
    <w:rsid w:val="00EA058D"/>
    <w:rsid w:val="00EA0A0E"/>
    <w:rsid w:val="00EA0ACD"/>
    <w:rsid w:val="00EA0BB3"/>
    <w:rsid w:val="00EA0BBD"/>
    <w:rsid w:val="00EA10FA"/>
    <w:rsid w:val="00EA1360"/>
    <w:rsid w:val="00EA16D3"/>
    <w:rsid w:val="00EA16FC"/>
    <w:rsid w:val="00EA1A04"/>
    <w:rsid w:val="00EA1BEE"/>
    <w:rsid w:val="00EA1C40"/>
    <w:rsid w:val="00EA1C5F"/>
    <w:rsid w:val="00EA1F8F"/>
    <w:rsid w:val="00EA23B9"/>
    <w:rsid w:val="00EA290B"/>
    <w:rsid w:val="00EA33E8"/>
    <w:rsid w:val="00EA3915"/>
    <w:rsid w:val="00EA3CC1"/>
    <w:rsid w:val="00EA3D34"/>
    <w:rsid w:val="00EA434B"/>
    <w:rsid w:val="00EA4459"/>
    <w:rsid w:val="00EA4585"/>
    <w:rsid w:val="00EA458C"/>
    <w:rsid w:val="00EA4630"/>
    <w:rsid w:val="00EA4702"/>
    <w:rsid w:val="00EA4837"/>
    <w:rsid w:val="00EA53B4"/>
    <w:rsid w:val="00EA59B1"/>
    <w:rsid w:val="00EA59BB"/>
    <w:rsid w:val="00EA5C48"/>
    <w:rsid w:val="00EA5D1F"/>
    <w:rsid w:val="00EA5DBC"/>
    <w:rsid w:val="00EA609D"/>
    <w:rsid w:val="00EA640E"/>
    <w:rsid w:val="00EA6895"/>
    <w:rsid w:val="00EA68AD"/>
    <w:rsid w:val="00EA6DC0"/>
    <w:rsid w:val="00EA6E86"/>
    <w:rsid w:val="00EA7416"/>
    <w:rsid w:val="00EA7DA0"/>
    <w:rsid w:val="00EA7DAD"/>
    <w:rsid w:val="00EB0237"/>
    <w:rsid w:val="00EB0584"/>
    <w:rsid w:val="00EB0CC8"/>
    <w:rsid w:val="00EB0CE7"/>
    <w:rsid w:val="00EB0EBD"/>
    <w:rsid w:val="00EB1199"/>
    <w:rsid w:val="00EB1228"/>
    <w:rsid w:val="00EB1348"/>
    <w:rsid w:val="00EB151A"/>
    <w:rsid w:val="00EB17DA"/>
    <w:rsid w:val="00EB1949"/>
    <w:rsid w:val="00EB1CBD"/>
    <w:rsid w:val="00EB1FA6"/>
    <w:rsid w:val="00EB24F9"/>
    <w:rsid w:val="00EB26D3"/>
    <w:rsid w:val="00EB2AC2"/>
    <w:rsid w:val="00EB2D76"/>
    <w:rsid w:val="00EB38D2"/>
    <w:rsid w:val="00EB3952"/>
    <w:rsid w:val="00EB39AE"/>
    <w:rsid w:val="00EB3F5A"/>
    <w:rsid w:val="00EB3FAF"/>
    <w:rsid w:val="00EB413B"/>
    <w:rsid w:val="00EB454D"/>
    <w:rsid w:val="00EB492B"/>
    <w:rsid w:val="00EB4966"/>
    <w:rsid w:val="00EB496A"/>
    <w:rsid w:val="00EB576A"/>
    <w:rsid w:val="00EB598E"/>
    <w:rsid w:val="00EB60D2"/>
    <w:rsid w:val="00EB6159"/>
    <w:rsid w:val="00EB65F1"/>
    <w:rsid w:val="00EB6964"/>
    <w:rsid w:val="00EB6BB4"/>
    <w:rsid w:val="00EB6DE1"/>
    <w:rsid w:val="00EB720C"/>
    <w:rsid w:val="00EB7776"/>
    <w:rsid w:val="00EB7D08"/>
    <w:rsid w:val="00EC01D9"/>
    <w:rsid w:val="00EC10B6"/>
    <w:rsid w:val="00EC1929"/>
    <w:rsid w:val="00EC219A"/>
    <w:rsid w:val="00EC25B8"/>
    <w:rsid w:val="00EC271E"/>
    <w:rsid w:val="00EC2BE2"/>
    <w:rsid w:val="00EC3009"/>
    <w:rsid w:val="00EC3420"/>
    <w:rsid w:val="00EC3939"/>
    <w:rsid w:val="00EC3F5A"/>
    <w:rsid w:val="00EC4F40"/>
    <w:rsid w:val="00EC5548"/>
    <w:rsid w:val="00EC57CD"/>
    <w:rsid w:val="00EC5871"/>
    <w:rsid w:val="00EC5AE5"/>
    <w:rsid w:val="00EC5EC4"/>
    <w:rsid w:val="00EC5F21"/>
    <w:rsid w:val="00EC5FC9"/>
    <w:rsid w:val="00EC6162"/>
    <w:rsid w:val="00EC6275"/>
    <w:rsid w:val="00EC6787"/>
    <w:rsid w:val="00EC6C07"/>
    <w:rsid w:val="00EC6FCD"/>
    <w:rsid w:val="00EC70D0"/>
    <w:rsid w:val="00EC730A"/>
    <w:rsid w:val="00EC75CD"/>
    <w:rsid w:val="00EC7729"/>
    <w:rsid w:val="00ED13EE"/>
    <w:rsid w:val="00ED1421"/>
    <w:rsid w:val="00ED14D5"/>
    <w:rsid w:val="00ED18DC"/>
    <w:rsid w:val="00ED1A3E"/>
    <w:rsid w:val="00ED1B04"/>
    <w:rsid w:val="00ED1C68"/>
    <w:rsid w:val="00ED211C"/>
    <w:rsid w:val="00ED248C"/>
    <w:rsid w:val="00ED2824"/>
    <w:rsid w:val="00ED295F"/>
    <w:rsid w:val="00ED2B97"/>
    <w:rsid w:val="00ED2C09"/>
    <w:rsid w:val="00ED2C28"/>
    <w:rsid w:val="00ED3118"/>
    <w:rsid w:val="00ED397F"/>
    <w:rsid w:val="00ED3B57"/>
    <w:rsid w:val="00ED3D04"/>
    <w:rsid w:val="00ED4148"/>
    <w:rsid w:val="00ED4354"/>
    <w:rsid w:val="00ED4370"/>
    <w:rsid w:val="00ED4406"/>
    <w:rsid w:val="00ED46AA"/>
    <w:rsid w:val="00ED4911"/>
    <w:rsid w:val="00ED4F32"/>
    <w:rsid w:val="00ED52D6"/>
    <w:rsid w:val="00ED5656"/>
    <w:rsid w:val="00ED5DD7"/>
    <w:rsid w:val="00ED5FA0"/>
    <w:rsid w:val="00ED65C4"/>
    <w:rsid w:val="00ED67D0"/>
    <w:rsid w:val="00ED67F1"/>
    <w:rsid w:val="00ED69D3"/>
    <w:rsid w:val="00ED75BD"/>
    <w:rsid w:val="00ED76BE"/>
    <w:rsid w:val="00ED7C53"/>
    <w:rsid w:val="00EE0032"/>
    <w:rsid w:val="00EE0747"/>
    <w:rsid w:val="00EE07CF"/>
    <w:rsid w:val="00EE0E65"/>
    <w:rsid w:val="00EE0EF2"/>
    <w:rsid w:val="00EE0F3C"/>
    <w:rsid w:val="00EE0F71"/>
    <w:rsid w:val="00EE1655"/>
    <w:rsid w:val="00EE1908"/>
    <w:rsid w:val="00EE1981"/>
    <w:rsid w:val="00EE1F51"/>
    <w:rsid w:val="00EE24F0"/>
    <w:rsid w:val="00EE2B90"/>
    <w:rsid w:val="00EE2B93"/>
    <w:rsid w:val="00EE2DD6"/>
    <w:rsid w:val="00EE35D1"/>
    <w:rsid w:val="00EE37EB"/>
    <w:rsid w:val="00EE3881"/>
    <w:rsid w:val="00EE3DFE"/>
    <w:rsid w:val="00EE3EEA"/>
    <w:rsid w:val="00EE40D7"/>
    <w:rsid w:val="00EE4181"/>
    <w:rsid w:val="00EE42B2"/>
    <w:rsid w:val="00EE4F2C"/>
    <w:rsid w:val="00EE51CE"/>
    <w:rsid w:val="00EE52BC"/>
    <w:rsid w:val="00EE5460"/>
    <w:rsid w:val="00EE56E1"/>
    <w:rsid w:val="00EE5AB2"/>
    <w:rsid w:val="00EE62E2"/>
    <w:rsid w:val="00EE6970"/>
    <w:rsid w:val="00EE6E06"/>
    <w:rsid w:val="00EE78D4"/>
    <w:rsid w:val="00EE7AF3"/>
    <w:rsid w:val="00EE7DB5"/>
    <w:rsid w:val="00EE7DC6"/>
    <w:rsid w:val="00EF0086"/>
    <w:rsid w:val="00EF00BF"/>
    <w:rsid w:val="00EF019F"/>
    <w:rsid w:val="00EF041B"/>
    <w:rsid w:val="00EF0CFD"/>
    <w:rsid w:val="00EF0E20"/>
    <w:rsid w:val="00EF10AE"/>
    <w:rsid w:val="00EF1776"/>
    <w:rsid w:val="00EF1FDC"/>
    <w:rsid w:val="00EF20EA"/>
    <w:rsid w:val="00EF25E4"/>
    <w:rsid w:val="00EF2CC9"/>
    <w:rsid w:val="00EF2E44"/>
    <w:rsid w:val="00EF32D3"/>
    <w:rsid w:val="00EF3628"/>
    <w:rsid w:val="00EF3789"/>
    <w:rsid w:val="00EF380F"/>
    <w:rsid w:val="00EF3997"/>
    <w:rsid w:val="00EF3AAC"/>
    <w:rsid w:val="00EF3ACE"/>
    <w:rsid w:val="00EF3F5D"/>
    <w:rsid w:val="00EF45AD"/>
    <w:rsid w:val="00EF4A52"/>
    <w:rsid w:val="00EF4D4A"/>
    <w:rsid w:val="00EF52A8"/>
    <w:rsid w:val="00EF5489"/>
    <w:rsid w:val="00EF5560"/>
    <w:rsid w:val="00EF55FC"/>
    <w:rsid w:val="00EF5F2C"/>
    <w:rsid w:val="00EF619B"/>
    <w:rsid w:val="00EF667D"/>
    <w:rsid w:val="00EF6889"/>
    <w:rsid w:val="00EF6B46"/>
    <w:rsid w:val="00EF6C7F"/>
    <w:rsid w:val="00EF6DE9"/>
    <w:rsid w:val="00EF7060"/>
    <w:rsid w:val="00EF73D7"/>
    <w:rsid w:val="00EF769D"/>
    <w:rsid w:val="00EF7710"/>
    <w:rsid w:val="00EF7AD6"/>
    <w:rsid w:val="00EF7B0E"/>
    <w:rsid w:val="00EF7C5E"/>
    <w:rsid w:val="00F00055"/>
    <w:rsid w:val="00F00323"/>
    <w:rsid w:val="00F0043F"/>
    <w:rsid w:val="00F00735"/>
    <w:rsid w:val="00F00B55"/>
    <w:rsid w:val="00F00B7C"/>
    <w:rsid w:val="00F00BDE"/>
    <w:rsid w:val="00F01994"/>
    <w:rsid w:val="00F01AC4"/>
    <w:rsid w:val="00F01E62"/>
    <w:rsid w:val="00F02506"/>
    <w:rsid w:val="00F027CA"/>
    <w:rsid w:val="00F02865"/>
    <w:rsid w:val="00F02932"/>
    <w:rsid w:val="00F02987"/>
    <w:rsid w:val="00F029FA"/>
    <w:rsid w:val="00F02A1C"/>
    <w:rsid w:val="00F02AD1"/>
    <w:rsid w:val="00F031DF"/>
    <w:rsid w:val="00F03977"/>
    <w:rsid w:val="00F03B99"/>
    <w:rsid w:val="00F03DA3"/>
    <w:rsid w:val="00F0417F"/>
    <w:rsid w:val="00F048F3"/>
    <w:rsid w:val="00F04F35"/>
    <w:rsid w:val="00F0509B"/>
    <w:rsid w:val="00F05E26"/>
    <w:rsid w:val="00F06515"/>
    <w:rsid w:val="00F065B7"/>
    <w:rsid w:val="00F065D0"/>
    <w:rsid w:val="00F0672A"/>
    <w:rsid w:val="00F06BB9"/>
    <w:rsid w:val="00F06F36"/>
    <w:rsid w:val="00F07180"/>
    <w:rsid w:val="00F071A7"/>
    <w:rsid w:val="00F07980"/>
    <w:rsid w:val="00F07BE5"/>
    <w:rsid w:val="00F07ECB"/>
    <w:rsid w:val="00F1048E"/>
    <w:rsid w:val="00F107B2"/>
    <w:rsid w:val="00F10C14"/>
    <w:rsid w:val="00F10D7E"/>
    <w:rsid w:val="00F10EF7"/>
    <w:rsid w:val="00F10F5F"/>
    <w:rsid w:val="00F10FDF"/>
    <w:rsid w:val="00F10FF9"/>
    <w:rsid w:val="00F11B32"/>
    <w:rsid w:val="00F11CDE"/>
    <w:rsid w:val="00F11CF8"/>
    <w:rsid w:val="00F121B8"/>
    <w:rsid w:val="00F123CE"/>
    <w:rsid w:val="00F12D3C"/>
    <w:rsid w:val="00F12E32"/>
    <w:rsid w:val="00F12E5C"/>
    <w:rsid w:val="00F13524"/>
    <w:rsid w:val="00F141E4"/>
    <w:rsid w:val="00F14659"/>
    <w:rsid w:val="00F146ED"/>
    <w:rsid w:val="00F14D01"/>
    <w:rsid w:val="00F14E7D"/>
    <w:rsid w:val="00F14F60"/>
    <w:rsid w:val="00F1510C"/>
    <w:rsid w:val="00F154CF"/>
    <w:rsid w:val="00F15C84"/>
    <w:rsid w:val="00F15FDD"/>
    <w:rsid w:val="00F1644E"/>
    <w:rsid w:val="00F168A4"/>
    <w:rsid w:val="00F16B1D"/>
    <w:rsid w:val="00F16B67"/>
    <w:rsid w:val="00F16E58"/>
    <w:rsid w:val="00F1755B"/>
    <w:rsid w:val="00F2057E"/>
    <w:rsid w:val="00F20ABD"/>
    <w:rsid w:val="00F20CC3"/>
    <w:rsid w:val="00F20CC7"/>
    <w:rsid w:val="00F212BC"/>
    <w:rsid w:val="00F214C9"/>
    <w:rsid w:val="00F2192C"/>
    <w:rsid w:val="00F219EA"/>
    <w:rsid w:val="00F21A79"/>
    <w:rsid w:val="00F21F6E"/>
    <w:rsid w:val="00F223D2"/>
    <w:rsid w:val="00F22F20"/>
    <w:rsid w:val="00F23B3A"/>
    <w:rsid w:val="00F23C77"/>
    <w:rsid w:val="00F23DB8"/>
    <w:rsid w:val="00F23F87"/>
    <w:rsid w:val="00F247A0"/>
    <w:rsid w:val="00F24CBD"/>
    <w:rsid w:val="00F250C7"/>
    <w:rsid w:val="00F253CC"/>
    <w:rsid w:val="00F2551C"/>
    <w:rsid w:val="00F256F3"/>
    <w:rsid w:val="00F2579B"/>
    <w:rsid w:val="00F25A36"/>
    <w:rsid w:val="00F25CD8"/>
    <w:rsid w:val="00F2600C"/>
    <w:rsid w:val="00F26A2B"/>
    <w:rsid w:val="00F26BDA"/>
    <w:rsid w:val="00F2702A"/>
    <w:rsid w:val="00F270F1"/>
    <w:rsid w:val="00F272C6"/>
    <w:rsid w:val="00F2770D"/>
    <w:rsid w:val="00F2796D"/>
    <w:rsid w:val="00F27A79"/>
    <w:rsid w:val="00F27EFA"/>
    <w:rsid w:val="00F3016F"/>
    <w:rsid w:val="00F301F1"/>
    <w:rsid w:val="00F3062D"/>
    <w:rsid w:val="00F30798"/>
    <w:rsid w:val="00F308DF"/>
    <w:rsid w:val="00F31532"/>
    <w:rsid w:val="00F318EF"/>
    <w:rsid w:val="00F3246D"/>
    <w:rsid w:val="00F32627"/>
    <w:rsid w:val="00F3275E"/>
    <w:rsid w:val="00F328BD"/>
    <w:rsid w:val="00F32FE2"/>
    <w:rsid w:val="00F330E4"/>
    <w:rsid w:val="00F33748"/>
    <w:rsid w:val="00F33955"/>
    <w:rsid w:val="00F33D65"/>
    <w:rsid w:val="00F34712"/>
    <w:rsid w:val="00F34AC1"/>
    <w:rsid w:val="00F34B5A"/>
    <w:rsid w:val="00F34E3D"/>
    <w:rsid w:val="00F351BB"/>
    <w:rsid w:val="00F35543"/>
    <w:rsid w:val="00F35678"/>
    <w:rsid w:val="00F3585A"/>
    <w:rsid w:val="00F36342"/>
    <w:rsid w:val="00F363AB"/>
    <w:rsid w:val="00F367FD"/>
    <w:rsid w:val="00F3684D"/>
    <w:rsid w:val="00F3692A"/>
    <w:rsid w:val="00F36BBC"/>
    <w:rsid w:val="00F36BD1"/>
    <w:rsid w:val="00F36DD3"/>
    <w:rsid w:val="00F37106"/>
    <w:rsid w:val="00F3776F"/>
    <w:rsid w:val="00F37FB7"/>
    <w:rsid w:val="00F4059E"/>
    <w:rsid w:val="00F40950"/>
    <w:rsid w:val="00F40F53"/>
    <w:rsid w:val="00F41724"/>
    <w:rsid w:val="00F417F4"/>
    <w:rsid w:val="00F42613"/>
    <w:rsid w:val="00F42707"/>
    <w:rsid w:val="00F42A0E"/>
    <w:rsid w:val="00F42AAE"/>
    <w:rsid w:val="00F435E2"/>
    <w:rsid w:val="00F4360C"/>
    <w:rsid w:val="00F4406D"/>
    <w:rsid w:val="00F4462C"/>
    <w:rsid w:val="00F446F9"/>
    <w:rsid w:val="00F44A15"/>
    <w:rsid w:val="00F44C09"/>
    <w:rsid w:val="00F44CA5"/>
    <w:rsid w:val="00F44D14"/>
    <w:rsid w:val="00F44FED"/>
    <w:rsid w:val="00F45089"/>
    <w:rsid w:val="00F45631"/>
    <w:rsid w:val="00F458B4"/>
    <w:rsid w:val="00F45942"/>
    <w:rsid w:val="00F45ADC"/>
    <w:rsid w:val="00F45B86"/>
    <w:rsid w:val="00F45BF1"/>
    <w:rsid w:val="00F46030"/>
    <w:rsid w:val="00F460BD"/>
    <w:rsid w:val="00F46421"/>
    <w:rsid w:val="00F46DCE"/>
    <w:rsid w:val="00F47077"/>
    <w:rsid w:val="00F476EA"/>
    <w:rsid w:val="00F50213"/>
    <w:rsid w:val="00F503E5"/>
    <w:rsid w:val="00F506DB"/>
    <w:rsid w:val="00F50950"/>
    <w:rsid w:val="00F50C83"/>
    <w:rsid w:val="00F50E2F"/>
    <w:rsid w:val="00F5120C"/>
    <w:rsid w:val="00F5126E"/>
    <w:rsid w:val="00F51454"/>
    <w:rsid w:val="00F519CF"/>
    <w:rsid w:val="00F51C73"/>
    <w:rsid w:val="00F52036"/>
    <w:rsid w:val="00F5266C"/>
    <w:rsid w:val="00F52731"/>
    <w:rsid w:val="00F52B18"/>
    <w:rsid w:val="00F53668"/>
    <w:rsid w:val="00F537C8"/>
    <w:rsid w:val="00F53D74"/>
    <w:rsid w:val="00F540ED"/>
    <w:rsid w:val="00F54512"/>
    <w:rsid w:val="00F54740"/>
    <w:rsid w:val="00F54ECA"/>
    <w:rsid w:val="00F550DF"/>
    <w:rsid w:val="00F5519E"/>
    <w:rsid w:val="00F55253"/>
    <w:rsid w:val="00F5569F"/>
    <w:rsid w:val="00F557DF"/>
    <w:rsid w:val="00F56089"/>
    <w:rsid w:val="00F560E0"/>
    <w:rsid w:val="00F56735"/>
    <w:rsid w:val="00F56791"/>
    <w:rsid w:val="00F56BA5"/>
    <w:rsid w:val="00F56C88"/>
    <w:rsid w:val="00F56E69"/>
    <w:rsid w:val="00F5742D"/>
    <w:rsid w:val="00F57702"/>
    <w:rsid w:val="00F57724"/>
    <w:rsid w:val="00F57825"/>
    <w:rsid w:val="00F57978"/>
    <w:rsid w:val="00F57B9F"/>
    <w:rsid w:val="00F57D68"/>
    <w:rsid w:val="00F607B9"/>
    <w:rsid w:val="00F60C23"/>
    <w:rsid w:val="00F60E22"/>
    <w:rsid w:val="00F60E5B"/>
    <w:rsid w:val="00F6165A"/>
    <w:rsid w:val="00F61A1A"/>
    <w:rsid w:val="00F61FE4"/>
    <w:rsid w:val="00F62282"/>
    <w:rsid w:val="00F623B5"/>
    <w:rsid w:val="00F62600"/>
    <w:rsid w:val="00F62748"/>
    <w:rsid w:val="00F62A2A"/>
    <w:rsid w:val="00F62D1E"/>
    <w:rsid w:val="00F63CCB"/>
    <w:rsid w:val="00F640C5"/>
    <w:rsid w:val="00F6441A"/>
    <w:rsid w:val="00F648AC"/>
    <w:rsid w:val="00F649AD"/>
    <w:rsid w:val="00F64B8B"/>
    <w:rsid w:val="00F64DB1"/>
    <w:rsid w:val="00F6538D"/>
    <w:rsid w:val="00F653D2"/>
    <w:rsid w:val="00F65545"/>
    <w:rsid w:val="00F659EC"/>
    <w:rsid w:val="00F66EB7"/>
    <w:rsid w:val="00F6703B"/>
    <w:rsid w:val="00F6731B"/>
    <w:rsid w:val="00F674F4"/>
    <w:rsid w:val="00F67A50"/>
    <w:rsid w:val="00F67B09"/>
    <w:rsid w:val="00F67C38"/>
    <w:rsid w:val="00F70327"/>
    <w:rsid w:val="00F711C6"/>
    <w:rsid w:val="00F711EA"/>
    <w:rsid w:val="00F7124D"/>
    <w:rsid w:val="00F71A73"/>
    <w:rsid w:val="00F71A9D"/>
    <w:rsid w:val="00F7244A"/>
    <w:rsid w:val="00F72BD4"/>
    <w:rsid w:val="00F73170"/>
    <w:rsid w:val="00F73584"/>
    <w:rsid w:val="00F73687"/>
    <w:rsid w:val="00F739DF"/>
    <w:rsid w:val="00F74290"/>
    <w:rsid w:val="00F746C3"/>
    <w:rsid w:val="00F74E0A"/>
    <w:rsid w:val="00F75005"/>
    <w:rsid w:val="00F75766"/>
    <w:rsid w:val="00F75A47"/>
    <w:rsid w:val="00F75A6B"/>
    <w:rsid w:val="00F75F3C"/>
    <w:rsid w:val="00F76487"/>
    <w:rsid w:val="00F764FE"/>
    <w:rsid w:val="00F76E2B"/>
    <w:rsid w:val="00F771F0"/>
    <w:rsid w:val="00F779E6"/>
    <w:rsid w:val="00F77DF8"/>
    <w:rsid w:val="00F804AE"/>
    <w:rsid w:val="00F8067B"/>
    <w:rsid w:val="00F80A4F"/>
    <w:rsid w:val="00F81147"/>
    <w:rsid w:val="00F815A6"/>
    <w:rsid w:val="00F816DE"/>
    <w:rsid w:val="00F81873"/>
    <w:rsid w:val="00F81BE3"/>
    <w:rsid w:val="00F82261"/>
    <w:rsid w:val="00F82DD5"/>
    <w:rsid w:val="00F82E43"/>
    <w:rsid w:val="00F837D4"/>
    <w:rsid w:val="00F83A86"/>
    <w:rsid w:val="00F83BAE"/>
    <w:rsid w:val="00F83DA0"/>
    <w:rsid w:val="00F843AA"/>
    <w:rsid w:val="00F84D44"/>
    <w:rsid w:val="00F852F7"/>
    <w:rsid w:val="00F852FC"/>
    <w:rsid w:val="00F85337"/>
    <w:rsid w:val="00F85562"/>
    <w:rsid w:val="00F85A52"/>
    <w:rsid w:val="00F860B1"/>
    <w:rsid w:val="00F866A6"/>
    <w:rsid w:val="00F869AF"/>
    <w:rsid w:val="00F869E0"/>
    <w:rsid w:val="00F86C33"/>
    <w:rsid w:val="00F87234"/>
    <w:rsid w:val="00F877C0"/>
    <w:rsid w:val="00F90217"/>
    <w:rsid w:val="00F9043B"/>
    <w:rsid w:val="00F90590"/>
    <w:rsid w:val="00F90767"/>
    <w:rsid w:val="00F90AEF"/>
    <w:rsid w:val="00F90C3E"/>
    <w:rsid w:val="00F90CAC"/>
    <w:rsid w:val="00F90CC2"/>
    <w:rsid w:val="00F90CE4"/>
    <w:rsid w:val="00F91160"/>
    <w:rsid w:val="00F91190"/>
    <w:rsid w:val="00F91542"/>
    <w:rsid w:val="00F917D1"/>
    <w:rsid w:val="00F91A90"/>
    <w:rsid w:val="00F91BBA"/>
    <w:rsid w:val="00F91BDC"/>
    <w:rsid w:val="00F92433"/>
    <w:rsid w:val="00F92850"/>
    <w:rsid w:val="00F93573"/>
    <w:rsid w:val="00F93F64"/>
    <w:rsid w:val="00F94216"/>
    <w:rsid w:val="00F94353"/>
    <w:rsid w:val="00F9451A"/>
    <w:rsid w:val="00F94712"/>
    <w:rsid w:val="00F9491D"/>
    <w:rsid w:val="00F954CA"/>
    <w:rsid w:val="00F9568E"/>
    <w:rsid w:val="00F957AE"/>
    <w:rsid w:val="00F95A27"/>
    <w:rsid w:val="00F95AED"/>
    <w:rsid w:val="00F96160"/>
    <w:rsid w:val="00F96333"/>
    <w:rsid w:val="00F964F8"/>
    <w:rsid w:val="00F9653B"/>
    <w:rsid w:val="00F965F5"/>
    <w:rsid w:val="00F9666C"/>
    <w:rsid w:val="00F96778"/>
    <w:rsid w:val="00F96982"/>
    <w:rsid w:val="00F9741B"/>
    <w:rsid w:val="00F97516"/>
    <w:rsid w:val="00F97A52"/>
    <w:rsid w:val="00F97A94"/>
    <w:rsid w:val="00F97E2D"/>
    <w:rsid w:val="00F97E62"/>
    <w:rsid w:val="00FA02EB"/>
    <w:rsid w:val="00FA0338"/>
    <w:rsid w:val="00FA0711"/>
    <w:rsid w:val="00FA08DD"/>
    <w:rsid w:val="00FA093F"/>
    <w:rsid w:val="00FA0B53"/>
    <w:rsid w:val="00FA0D48"/>
    <w:rsid w:val="00FA0E77"/>
    <w:rsid w:val="00FA174E"/>
    <w:rsid w:val="00FA1A07"/>
    <w:rsid w:val="00FA1A78"/>
    <w:rsid w:val="00FA1FAA"/>
    <w:rsid w:val="00FA1FBB"/>
    <w:rsid w:val="00FA2595"/>
    <w:rsid w:val="00FA26BE"/>
    <w:rsid w:val="00FA2E9D"/>
    <w:rsid w:val="00FA35B3"/>
    <w:rsid w:val="00FA3664"/>
    <w:rsid w:val="00FA3858"/>
    <w:rsid w:val="00FA3987"/>
    <w:rsid w:val="00FA4035"/>
    <w:rsid w:val="00FA410D"/>
    <w:rsid w:val="00FA4293"/>
    <w:rsid w:val="00FA46DA"/>
    <w:rsid w:val="00FA4AD3"/>
    <w:rsid w:val="00FA57A0"/>
    <w:rsid w:val="00FA5957"/>
    <w:rsid w:val="00FA5C21"/>
    <w:rsid w:val="00FA5EAE"/>
    <w:rsid w:val="00FA60B9"/>
    <w:rsid w:val="00FA65A6"/>
    <w:rsid w:val="00FA65BB"/>
    <w:rsid w:val="00FA66D9"/>
    <w:rsid w:val="00FA6A30"/>
    <w:rsid w:val="00FA6C23"/>
    <w:rsid w:val="00FA6DA6"/>
    <w:rsid w:val="00FA7494"/>
    <w:rsid w:val="00FA7605"/>
    <w:rsid w:val="00FA77B7"/>
    <w:rsid w:val="00FA7CE6"/>
    <w:rsid w:val="00FB05F9"/>
    <w:rsid w:val="00FB069F"/>
    <w:rsid w:val="00FB098E"/>
    <w:rsid w:val="00FB0A94"/>
    <w:rsid w:val="00FB0E93"/>
    <w:rsid w:val="00FB1084"/>
    <w:rsid w:val="00FB1351"/>
    <w:rsid w:val="00FB14D9"/>
    <w:rsid w:val="00FB1666"/>
    <w:rsid w:val="00FB1AC2"/>
    <w:rsid w:val="00FB2096"/>
    <w:rsid w:val="00FB2E57"/>
    <w:rsid w:val="00FB2ED7"/>
    <w:rsid w:val="00FB3D94"/>
    <w:rsid w:val="00FB3F52"/>
    <w:rsid w:val="00FB3F5D"/>
    <w:rsid w:val="00FB4364"/>
    <w:rsid w:val="00FB43DD"/>
    <w:rsid w:val="00FB465A"/>
    <w:rsid w:val="00FB4BD3"/>
    <w:rsid w:val="00FB4EB8"/>
    <w:rsid w:val="00FB4F03"/>
    <w:rsid w:val="00FB509B"/>
    <w:rsid w:val="00FB52E5"/>
    <w:rsid w:val="00FB54A0"/>
    <w:rsid w:val="00FB57E4"/>
    <w:rsid w:val="00FB5AF0"/>
    <w:rsid w:val="00FB5E1B"/>
    <w:rsid w:val="00FB62CF"/>
    <w:rsid w:val="00FB6330"/>
    <w:rsid w:val="00FB64DE"/>
    <w:rsid w:val="00FB6512"/>
    <w:rsid w:val="00FB68F0"/>
    <w:rsid w:val="00FB6A77"/>
    <w:rsid w:val="00FB6B56"/>
    <w:rsid w:val="00FB7137"/>
    <w:rsid w:val="00FB7604"/>
    <w:rsid w:val="00FB7B6A"/>
    <w:rsid w:val="00FC0F90"/>
    <w:rsid w:val="00FC10F5"/>
    <w:rsid w:val="00FC1660"/>
    <w:rsid w:val="00FC171D"/>
    <w:rsid w:val="00FC2226"/>
    <w:rsid w:val="00FC27FD"/>
    <w:rsid w:val="00FC2959"/>
    <w:rsid w:val="00FC2B0C"/>
    <w:rsid w:val="00FC30E2"/>
    <w:rsid w:val="00FC3301"/>
    <w:rsid w:val="00FC33C2"/>
    <w:rsid w:val="00FC3B9C"/>
    <w:rsid w:val="00FC3E44"/>
    <w:rsid w:val="00FC4122"/>
    <w:rsid w:val="00FC415B"/>
    <w:rsid w:val="00FC47E0"/>
    <w:rsid w:val="00FC488C"/>
    <w:rsid w:val="00FC551C"/>
    <w:rsid w:val="00FC563C"/>
    <w:rsid w:val="00FC5691"/>
    <w:rsid w:val="00FC5AF3"/>
    <w:rsid w:val="00FC5B40"/>
    <w:rsid w:val="00FC5DF0"/>
    <w:rsid w:val="00FC6038"/>
    <w:rsid w:val="00FC634A"/>
    <w:rsid w:val="00FC6A5B"/>
    <w:rsid w:val="00FC7319"/>
    <w:rsid w:val="00FC73F0"/>
    <w:rsid w:val="00FC75D1"/>
    <w:rsid w:val="00FC7D96"/>
    <w:rsid w:val="00FD05AE"/>
    <w:rsid w:val="00FD05B2"/>
    <w:rsid w:val="00FD0B6D"/>
    <w:rsid w:val="00FD0BD9"/>
    <w:rsid w:val="00FD0C3E"/>
    <w:rsid w:val="00FD0EFE"/>
    <w:rsid w:val="00FD0F00"/>
    <w:rsid w:val="00FD11D8"/>
    <w:rsid w:val="00FD125C"/>
    <w:rsid w:val="00FD13DD"/>
    <w:rsid w:val="00FD17E0"/>
    <w:rsid w:val="00FD1971"/>
    <w:rsid w:val="00FD1A5F"/>
    <w:rsid w:val="00FD1ABA"/>
    <w:rsid w:val="00FD1AFA"/>
    <w:rsid w:val="00FD1CEF"/>
    <w:rsid w:val="00FD21EF"/>
    <w:rsid w:val="00FD26A1"/>
    <w:rsid w:val="00FD27E6"/>
    <w:rsid w:val="00FD2E3F"/>
    <w:rsid w:val="00FD2FDF"/>
    <w:rsid w:val="00FD34DD"/>
    <w:rsid w:val="00FD3AB2"/>
    <w:rsid w:val="00FD3C3B"/>
    <w:rsid w:val="00FD3D23"/>
    <w:rsid w:val="00FD44C4"/>
    <w:rsid w:val="00FD46A6"/>
    <w:rsid w:val="00FD4D88"/>
    <w:rsid w:val="00FD4EC1"/>
    <w:rsid w:val="00FD4F75"/>
    <w:rsid w:val="00FD51B3"/>
    <w:rsid w:val="00FD532B"/>
    <w:rsid w:val="00FD54AD"/>
    <w:rsid w:val="00FD54DA"/>
    <w:rsid w:val="00FD5921"/>
    <w:rsid w:val="00FD60E3"/>
    <w:rsid w:val="00FD62C7"/>
    <w:rsid w:val="00FD631E"/>
    <w:rsid w:val="00FD66F9"/>
    <w:rsid w:val="00FD6FB3"/>
    <w:rsid w:val="00FD70E8"/>
    <w:rsid w:val="00FD729D"/>
    <w:rsid w:val="00FD76F2"/>
    <w:rsid w:val="00FD79FD"/>
    <w:rsid w:val="00FD79FF"/>
    <w:rsid w:val="00FE0851"/>
    <w:rsid w:val="00FE0BC9"/>
    <w:rsid w:val="00FE0E59"/>
    <w:rsid w:val="00FE0EE6"/>
    <w:rsid w:val="00FE12C4"/>
    <w:rsid w:val="00FE15F2"/>
    <w:rsid w:val="00FE18F9"/>
    <w:rsid w:val="00FE1DFE"/>
    <w:rsid w:val="00FE1F1B"/>
    <w:rsid w:val="00FE1F8C"/>
    <w:rsid w:val="00FE29EC"/>
    <w:rsid w:val="00FE31D6"/>
    <w:rsid w:val="00FE350D"/>
    <w:rsid w:val="00FE376F"/>
    <w:rsid w:val="00FE3895"/>
    <w:rsid w:val="00FE45EF"/>
    <w:rsid w:val="00FE487F"/>
    <w:rsid w:val="00FE4928"/>
    <w:rsid w:val="00FE4DE5"/>
    <w:rsid w:val="00FE5017"/>
    <w:rsid w:val="00FE5044"/>
    <w:rsid w:val="00FE52B3"/>
    <w:rsid w:val="00FE5E14"/>
    <w:rsid w:val="00FE66A3"/>
    <w:rsid w:val="00FE6755"/>
    <w:rsid w:val="00FE6783"/>
    <w:rsid w:val="00FE6A28"/>
    <w:rsid w:val="00FE6B45"/>
    <w:rsid w:val="00FE6BB0"/>
    <w:rsid w:val="00FE6F27"/>
    <w:rsid w:val="00FE6F82"/>
    <w:rsid w:val="00FE70DE"/>
    <w:rsid w:val="00FE7413"/>
    <w:rsid w:val="00FE762A"/>
    <w:rsid w:val="00FE79D8"/>
    <w:rsid w:val="00FF08C7"/>
    <w:rsid w:val="00FF09B0"/>
    <w:rsid w:val="00FF11B9"/>
    <w:rsid w:val="00FF14ED"/>
    <w:rsid w:val="00FF1520"/>
    <w:rsid w:val="00FF1BD8"/>
    <w:rsid w:val="00FF1F7E"/>
    <w:rsid w:val="00FF222C"/>
    <w:rsid w:val="00FF22DB"/>
    <w:rsid w:val="00FF2672"/>
    <w:rsid w:val="00FF2A34"/>
    <w:rsid w:val="00FF2E0B"/>
    <w:rsid w:val="00FF2FF7"/>
    <w:rsid w:val="00FF3195"/>
    <w:rsid w:val="00FF342C"/>
    <w:rsid w:val="00FF3556"/>
    <w:rsid w:val="00FF359B"/>
    <w:rsid w:val="00FF4706"/>
    <w:rsid w:val="00FF4711"/>
    <w:rsid w:val="00FF48F6"/>
    <w:rsid w:val="00FF4D55"/>
    <w:rsid w:val="00FF4E38"/>
    <w:rsid w:val="00FF4F04"/>
    <w:rsid w:val="00FF5166"/>
    <w:rsid w:val="00FF522C"/>
    <w:rsid w:val="00FF5851"/>
    <w:rsid w:val="00FF5EE6"/>
    <w:rsid w:val="00FF6B2C"/>
    <w:rsid w:val="00FF7017"/>
    <w:rsid w:val="00FF7876"/>
    <w:rsid w:val="00FF7B79"/>
    <w:rsid w:val="00FF7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16386"/>
    <o:shapelayout v:ext="edit">
      <o:idmap v:ext="edit" data="1"/>
    </o:shapelayout>
  </w:shapeDefaults>
  <w:decimalSymbol w:val="."/>
  <w:listSeparator w:val=","/>
  <w14:docId w14:val="363E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753D7"/>
    <w:rPr>
      <w:sz w:val="24"/>
      <w:szCs w:val="24"/>
      <w:lang w:val="en-US" w:eastAsia="en-US"/>
    </w:rPr>
  </w:style>
  <w:style w:type="paragraph" w:styleId="Heading1">
    <w:name w:val="heading 1"/>
    <w:basedOn w:val="Normal"/>
    <w:next w:val="Normal"/>
    <w:link w:val="Heading1Char"/>
    <w:uiPriority w:val="9"/>
    <w:qFormat/>
    <w:rsid w:val="00E24E60"/>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asciiTheme="majorHAnsi" w:eastAsia="Times New Roman" w:hAnsiTheme="majorHAnsi"/>
      <w:b/>
      <w:sz w:val="20"/>
      <w:szCs w:val="20"/>
      <w:bdr w:val="none" w:sz="0" w:space="0" w:color="auto"/>
      <w:lang w:val="es-ES_tradnl"/>
    </w:rPr>
  </w:style>
  <w:style w:type="paragraph" w:styleId="Heading2">
    <w:name w:val="heading 2"/>
    <w:basedOn w:val="Normal"/>
    <w:next w:val="Normal"/>
    <w:link w:val="Heading2Char"/>
    <w:qFormat/>
    <w:rsid w:val="00E24E60"/>
    <w:pPr>
      <w:keepNext/>
      <w:numPr>
        <w:ilvl w:val="2"/>
      </w:num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Theme="majorHAnsi" w:eastAsia="Times New Roman" w:hAnsiTheme="majorHAnsi"/>
      <w:b/>
      <w:sz w:val="20"/>
      <w:szCs w:val="20"/>
      <w:bdr w:val="none" w:sz="0" w:space="0" w:color="auto"/>
      <w:lang w:val="es-ES_tradnl"/>
    </w:rPr>
  </w:style>
  <w:style w:type="paragraph" w:styleId="Heading3">
    <w:name w:val="heading 3"/>
    <w:basedOn w:val="Normal"/>
    <w:next w:val="Normal"/>
    <w:link w:val="Heading3Char"/>
    <w:unhideWhenUsed/>
    <w:qFormat/>
    <w:rsid w:val="004B316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4B316C"/>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ascii="Arial" w:eastAsia="Times New Roman" w:hAnsi="Arial"/>
      <w:b/>
      <w:szCs w:val="20"/>
      <w:bdr w:val="none" w:sz="0" w:space="0" w:color="auto"/>
    </w:rPr>
  </w:style>
  <w:style w:type="paragraph" w:styleId="Heading5">
    <w:name w:val="heading 5"/>
    <w:basedOn w:val="Normal"/>
    <w:next w:val="Normal"/>
    <w:link w:val="Heading5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4"/>
    </w:pPr>
    <w:rPr>
      <w:rFonts w:eastAsia="Times New Roman"/>
      <w:sz w:val="22"/>
      <w:szCs w:val="20"/>
      <w:bdr w:val="none" w:sz="0" w:space="0" w:color="auto"/>
    </w:rPr>
  </w:style>
  <w:style w:type="paragraph" w:styleId="Heading6">
    <w:name w:val="heading 6"/>
    <w:basedOn w:val="Normal"/>
    <w:next w:val="Normal"/>
    <w:link w:val="Heading6Char"/>
    <w:uiPriority w:val="9"/>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i/>
      <w:sz w:val="22"/>
      <w:szCs w:val="20"/>
      <w:bdr w:val="none" w:sz="0" w:space="0" w:color="auto"/>
    </w:rPr>
  </w:style>
  <w:style w:type="paragraph" w:styleId="Heading7">
    <w:name w:val="heading 7"/>
    <w:basedOn w:val="Normal"/>
    <w:next w:val="Normal"/>
    <w:link w:val="Heading7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ascii="Arial" w:eastAsia="Times New Roman" w:hAnsi="Arial"/>
      <w:sz w:val="20"/>
      <w:szCs w:val="20"/>
      <w:bdr w:val="none" w:sz="0" w:space="0" w:color="auto"/>
    </w:rPr>
  </w:style>
  <w:style w:type="paragraph" w:styleId="Heading8">
    <w:name w:val="heading 8"/>
    <w:basedOn w:val="Normal"/>
    <w:next w:val="Normal"/>
    <w:link w:val="Heading8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7"/>
    </w:pPr>
    <w:rPr>
      <w:rFonts w:ascii="Arial" w:eastAsia="Times New Roman" w:hAnsi="Arial"/>
      <w:i/>
      <w:sz w:val="20"/>
      <w:szCs w:val="20"/>
      <w:bdr w:val="none" w:sz="0" w:space="0" w:color="auto"/>
    </w:rPr>
  </w:style>
  <w:style w:type="paragraph" w:styleId="Heading9">
    <w:name w:val="heading 9"/>
    <w:basedOn w:val="Normal"/>
    <w:next w:val="Normal"/>
    <w:link w:val="Heading9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8"/>
    </w:pPr>
    <w:rPr>
      <w:rFonts w:ascii="Arial" w:eastAsia="Times New Roman" w:hAnsi="Arial"/>
      <w:b/>
      <w:i/>
      <w:sz w:val="18"/>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753D7"/>
    <w:rPr>
      <w:u w:val="single"/>
    </w:rPr>
  </w:style>
  <w:style w:type="paragraph" w:customStyle="1" w:styleId="Cabeceraypie">
    <w:name w:val="Cabecera y pie"/>
    <w:rsid w:val="007753D7"/>
    <w:pPr>
      <w:tabs>
        <w:tab w:val="right" w:pos="9020"/>
      </w:tabs>
    </w:pPr>
    <w:rPr>
      <w:rFonts w:ascii="Helvetica" w:hAnsi="Arial Unicode MS" w:cs="Arial Unicode MS"/>
      <w:color w:val="000000"/>
      <w:sz w:val="24"/>
      <w:szCs w:val="24"/>
    </w:rPr>
  </w:style>
  <w:style w:type="paragraph" w:styleId="Footer">
    <w:name w:val="footer"/>
    <w:link w:val="FooterChar"/>
    <w:uiPriority w:val="99"/>
    <w:rsid w:val="007753D7"/>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sid w:val="007753D7"/>
    <w:rPr>
      <w:rFonts w:ascii="Cambria" w:eastAsia="Cambria" w:hAnsi="Cambria" w:cs="Cambria"/>
      <w:color w:val="000000"/>
      <w:sz w:val="24"/>
      <w:szCs w:val="24"/>
      <w:u w:color="000000"/>
    </w:rPr>
  </w:style>
  <w:style w:type="paragraph" w:styleId="BodyTextIndent">
    <w:name w:val="Body Text Indent"/>
    <w:link w:val="BodyTextIndentChar"/>
    <w:rsid w:val="007753D7"/>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List Paragraph11,List Paragraph2"/>
    <w:link w:val="ListParagraphChar"/>
    <w:uiPriority w:val="34"/>
    <w:qFormat/>
    <w:rsid w:val="007753D7"/>
    <w:pPr>
      <w:ind w:left="720"/>
    </w:pPr>
    <w:rPr>
      <w:rFonts w:ascii="Cambria" w:eastAsia="Cambria" w:hAnsi="Cambria" w:cs="Cambria"/>
      <w:color w:val="000000"/>
      <w:sz w:val="24"/>
      <w:szCs w:val="24"/>
      <w:u w:color="000000"/>
      <w:lang w:val="en-US"/>
    </w:rPr>
  </w:style>
  <w:style w:type="numbering" w:customStyle="1" w:styleId="List0">
    <w:name w:val="List 0"/>
    <w:basedOn w:val="Estiloimportado1"/>
    <w:rsid w:val="007753D7"/>
    <w:pPr>
      <w:numPr>
        <w:numId w:val="31"/>
      </w:numPr>
    </w:pPr>
  </w:style>
  <w:style w:type="numbering" w:customStyle="1" w:styleId="Estiloimportado1">
    <w:name w:val="Estilo importado 1"/>
    <w:rsid w:val="007753D7"/>
  </w:style>
  <w:style w:type="numbering" w:customStyle="1" w:styleId="List1">
    <w:name w:val="List 1"/>
    <w:basedOn w:val="Estiloimportado2"/>
    <w:rsid w:val="007753D7"/>
    <w:pPr>
      <w:numPr>
        <w:numId w:val="1"/>
      </w:numPr>
    </w:pPr>
  </w:style>
  <w:style w:type="numbering" w:customStyle="1" w:styleId="Estiloimportado2">
    <w:name w:val="Estilo importado 2"/>
    <w:rsid w:val="007753D7"/>
  </w:style>
  <w:style w:type="numbering" w:customStyle="1" w:styleId="List21">
    <w:name w:val="List 21"/>
    <w:basedOn w:val="Estiloimportado3"/>
    <w:rsid w:val="007753D7"/>
    <w:pPr>
      <w:numPr>
        <w:numId w:val="52"/>
      </w:numPr>
    </w:pPr>
  </w:style>
  <w:style w:type="numbering" w:customStyle="1" w:styleId="Estiloimportado3">
    <w:name w:val="Estilo importado 3"/>
    <w:rsid w:val="007753D7"/>
  </w:style>
  <w:style w:type="numbering" w:customStyle="1" w:styleId="List31">
    <w:name w:val="List 31"/>
    <w:basedOn w:val="Estiloimportado4"/>
    <w:rsid w:val="007753D7"/>
    <w:pPr>
      <w:numPr>
        <w:numId w:val="51"/>
      </w:numPr>
    </w:pPr>
  </w:style>
  <w:style w:type="numbering" w:customStyle="1" w:styleId="Estiloimportado4">
    <w:name w:val="Estilo importado 4"/>
    <w:rsid w:val="007753D7"/>
  </w:style>
  <w:style w:type="numbering" w:customStyle="1" w:styleId="List41">
    <w:name w:val="List 41"/>
    <w:basedOn w:val="Estiloimportado5"/>
    <w:rsid w:val="007753D7"/>
    <w:pPr>
      <w:numPr>
        <w:numId w:val="2"/>
      </w:numPr>
    </w:pPr>
  </w:style>
  <w:style w:type="numbering" w:customStyle="1" w:styleId="Estiloimportado5">
    <w:name w:val="Estilo importado 5"/>
    <w:rsid w:val="007753D7"/>
  </w:style>
  <w:style w:type="numbering" w:customStyle="1" w:styleId="List51">
    <w:name w:val="List 51"/>
    <w:basedOn w:val="Estiloimportado6"/>
    <w:rsid w:val="007753D7"/>
    <w:pPr>
      <w:numPr>
        <w:numId w:val="53"/>
      </w:numPr>
    </w:pPr>
  </w:style>
  <w:style w:type="numbering" w:customStyle="1" w:styleId="Estiloimportado6">
    <w:name w:val="Estilo importado 6"/>
    <w:rsid w:val="007753D7"/>
  </w:style>
  <w:style w:type="numbering" w:customStyle="1" w:styleId="List6">
    <w:name w:val="List 6"/>
    <w:basedOn w:val="Estiloimportado7"/>
    <w:rsid w:val="007753D7"/>
    <w:pPr>
      <w:numPr>
        <w:numId w:val="3"/>
      </w:numPr>
    </w:pPr>
  </w:style>
  <w:style w:type="numbering" w:customStyle="1" w:styleId="Estiloimportado7">
    <w:name w:val="Estilo importado 7"/>
    <w:rsid w:val="007753D7"/>
  </w:style>
  <w:style w:type="numbering" w:customStyle="1" w:styleId="List7">
    <w:name w:val="List 7"/>
    <w:basedOn w:val="Estiloimportado8"/>
    <w:rsid w:val="007753D7"/>
    <w:pPr>
      <w:numPr>
        <w:numId w:val="4"/>
      </w:numPr>
    </w:pPr>
  </w:style>
  <w:style w:type="numbering" w:customStyle="1" w:styleId="Estiloimportado8">
    <w:name w:val="Estilo importado 8"/>
    <w:rsid w:val="007753D7"/>
  </w:style>
  <w:style w:type="numbering" w:customStyle="1" w:styleId="List8">
    <w:name w:val="List 8"/>
    <w:basedOn w:val="Estiloimportado9"/>
    <w:rsid w:val="007753D7"/>
    <w:pPr>
      <w:numPr>
        <w:numId w:val="5"/>
      </w:numPr>
    </w:pPr>
  </w:style>
  <w:style w:type="numbering" w:customStyle="1" w:styleId="Estiloimportado9">
    <w:name w:val="Estilo importado 9"/>
    <w:rsid w:val="007753D7"/>
  </w:style>
  <w:style w:type="numbering" w:customStyle="1" w:styleId="List9">
    <w:name w:val="List 9"/>
    <w:basedOn w:val="Estiloimportado10"/>
    <w:rsid w:val="007753D7"/>
    <w:pPr>
      <w:numPr>
        <w:numId w:val="22"/>
      </w:numPr>
    </w:pPr>
  </w:style>
  <w:style w:type="numbering" w:customStyle="1" w:styleId="Estiloimportado10">
    <w:name w:val="Estilo importado 10"/>
    <w:rsid w:val="007753D7"/>
  </w:style>
  <w:style w:type="numbering" w:customStyle="1" w:styleId="List10">
    <w:name w:val="List 10"/>
    <w:basedOn w:val="Estiloimportado11"/>
    <w:rsid w:val="007753D7"/>
    <w:pPr>
      <w:numPr>
        <w:numId w:val="6"/>
      </w:numPr>
    </w:pPr>
  </w:style>
  <w:style w:type="numbering" w:customStyle="1" w:styleId="Estiloimportado11">
    <w:name w:val="Estilo importado 11"/>
    <w:rsid w:val="007753D7"/>
  </w:style>
  <w:style w:type="numbering" w:customStyle="1" w:styleId="List11">
    <w:name w:val="List 11"/>
    <w:basedOn w:val="Estiloimportado12"/>
    <w:rsid w:val="007753D7"/>
    <w:pPr>
      <w:numPr>
        <w:numId w:val="7"/>
      </w:numPr>
    </w:pPr>
  </w:style>
  <w:style w:type="numbering" w:customStyle="1" w:styleId="Estiloimportado12">
    <w:name w:val="Estilo importado 12"/>
    <w:rsid w:val="007753D7"/>
  </w:style>
  <w:style w:type="numbering" w:customStyle="1" w:styleId="List12">
    <w:name w:val="List 12"/>
    <w:basedOn w:val="Estiloimportado13"/>
    <w:rsid w:val="007753D7"/>
    <w:pPr>
      <w:numPr>
        <w:numId w:val="36"/>
      </w:numPr>
    </w:pPr>
  </w:style>
  <w:style w:type="numbering" w:customStyle="1" w:styleId="Estiloimportado13">
    <w:name w:val="Estilo importado 13"/>
    <w:rsid w:val="007753D7"/>
  </w:style>
  <w:style w:type="numbering" w:customStyle="1" w:styleId="List13">
    <w:name w:val="List 13"/>
    <w:basedOn w:val="Estiloimportado14"/>
    <w:rsid w:val="007753D7"/>
    <w:pPr>
      <w:numPr>
        <w:numId w:val="42"/>
      </w:numPr>
    </w:pPr>
  </w:style>
  <w:style w:type="numbering" w:customStyle="1" w:styleId="Estiloimportado14">
    <w:name w:val="Estilo importado 14"/>
    <w:rsid w:val="007753D7"/>
  </w:style>
  <w:style w:type="numbering" w:customStyle="1" w:styleId="List14">
    <w:name w:val="List 14"/>
    <w:basedOn w:val="Estiloimportado15"/>
    <w:rsid w:val="007753D7"/>
    <w:pPr>
      <w:numPr>
        <w:numId w:val="17"/>
      </w:numPr>
    </w:pPr>
  </w:style>
  <w:style w:type="numbering" w:customStyle="1" w:styleId="Estiloimportado15">
    <w:name w:val="Estilo importado 15"/>
    <w:rsid w:val="007753D7"/>
  </w:style>
  <w:style w:type="numbering" w:customStyle="1" w:styleId="List15">
    <w:name w:val="List 15"/>
    <w:basedOn w:val="Estiloimportado16"/>
    <w:rsid w:val="007753D7"/>
    <w:pPr>
      <w:numPr>
        <w:numId w:val="16"/>
      </w:numPr>
    </w:pPr>
  </w:style>
  <w:style w:type="numbering" w:customStyle="1" w:styleId="Estiloimportado16">
    <w:name w:val="Estilo importado 16"/>
    <w:rsid w:val="007753D7"/>
  </w:style>
  <w:style w:type="numbering" w:customStyle="1" w:styleId="List16">
    <w:name w:val="List 16"/>
    <w:basedOn w:val="Estiloimportado16"/>
    <w:rsid w:val="007753D7"/>
    <w:pPr>
      <w:numPr>
        <w:numId w:val="10"/>
      </w:numPr>
    </w:pPr>
  </w:style>
  <w:style w:type="numbering" w:customStyle="1" w:styleId="List17">
    <w:name w:val="List 17"/>
    <w:basedOn w:val="Estiloimportado17"/>
    <w:rsid w:val="007753D7"/>
    <w:pPr>
      <w:numPr>
        <w:numId w:val="25"/>
      </w:numPr>
    </w:pPr>
  </w:style>
  <w:style w:type="numbering" w:customStyle="1" w:styleId="Estiloimportado17">
    <w:name w:val="Estilo importado 17"/>
    <w:rsid w:val="007753D7"/>
  </w:style>
  <w:style w:type="numbering" w:customStyle="1" w:styleId="List18">
    <w:name w:val="List 18"/>
    <w:basedOn w:val="Estiloimportado18"/>
    <w:rsid w:val="007753D7"/>
    <w:pPr>
      <w:numPr>
        <w:numId w:val="27"/>
      </w:numPr>
    </w:pPr>
  </w:style>
  <w:style w:type="numbering" w:customStyle="1" w:styleId="Estiloimportado18">
    <w:name w:val="Estilo importado 18"/>
    <w:rsid w:val="007753D7"/>
  </w:style>
  <w:style w:type="numbering" w:customStyle="1" w:styleId="List19">
    <w:name w:val="List 19"/>
    <w:basedOn w:val="Estiloimportado10"/>
    <w:rsid w:val="007753D7"/>
    <w:pPr>
      <w:numPr>
        <w:numId w:val="19"/>
      </w:numPr>
    </w:pPr>
  </w:style>
  <w:style w:type="numbering" w:customStyle="1" w:styleId="List20">
    <w:name w:val="List 20"/>
    <w:basedOn w:val="Estiloimportado12"/>
    <w:rsid w:val="007753D7"/>
    <w:pPr>
      <w:numPr>
        <w:numId w:val="43"/>
      </w:numPr>
    </w:pPr>
  </w:style>
  <w:style w:type="numbering" w:customStyle="1" w:styleId="List211">
    <w:name w:val="List 211"/>
    <w:basedOn w:val="Estiloimportado19"/>
    <w:rsid w:val="007753D7"/>
    <w:pPr>
      <w:numPr>
        <w:numId w:val="38"/>
      </w:numPr>
    </w:pPr>
  </w:style>
  <w:style w:type="numbering" w:customStyle="1" w:styleId="Estiloimportado19">
    <w:name w:val="Estilo importado 19"/>
    <w:rsid w:val="007753D7"/>
  </w:style>
  <w:style w:type="numbering" w:customStyle="1" w:styleId="List22">
    <w:name w:val="List 22"/>
    <w:basedOn w:val="Estiloimportado19"/>
    <w:rsid w:val="007753D7"/>
    <w:pPr>
      <w:numPr>
        <w:numId w:val="28"/>
      </w:numPr>
    </w:pPr>
  </w:style>
  <w:style w:type="numbering" w:customStyle="1" w:styleId="List23">
    <w:name w:val="List 23"/>
    <w:basedOn w:val="Estiloimportado19"/>
    <w:rsid w:val="007753D7"/>
    <w:pPr>
      <w:numPr>
        <w:numId w:val="18"/>
      </w:numPr>
    </w:pPr>
  </w:style>
  <w:style w:type="numbering" w:customStyle="1" w:styleId="List24">
    <w:name w:val="List 24"/>
    <w:basedOn w:val="Estiloimportado20"/>
    <w:rsid w:val="007753D7"/>
    <w:pPr>
      <w:numPr>
        <w:numId w:val="13"/>
      </w:numPr>
    </w:pPr>
  </w:style>
  <w:style w:type="numbering" w:customStyle="1" w:styleId="Estiloimportado20">
    <w:name w:val="Estilo importado 20"/>
    <w:rsid w:val="007753D7"/>
  </w:style>
  <w:style w:type="numbering" w:customStyle="1" w:styleId="List25">
    <w:name w:val="List 25"/>
    <w:basedOn w:val="Estiloimportado21"/>
    <w:rsid w:val="007753D7"/>
    <w:pPr>
      <w:numPr>
        <w:numId w:val="15"/>
      </w:numPr>
    </w:pPr>
  </w:style>
  <w:style w:type="numbering" w:customStyle="1" w:styleId="Estiloimportado21">
    <w:name w:val="Estilo importado 21"/>
    <w:rsid w:val="007753D7"/>
  </w:style>
  <w:style w:type="numbering" w:customStyle="1" w:styleId="List26">
    <w:name w:val="List 26"/>
    <w:basedOn w:val="Estiloimportado22"/>
    <w:rsid w:val="007753D7"/>
    <w:pPr>
      <w:numPr>
        <w:numId w:val="49"/>
      </w:numPr>
    </w:pPr>
  </w:style>
  <w:style w:type="numbering" w:customStyle="1" w:styleId="Estiloimportado22">
    <w:name w:val="Estilo importado 22"/>
    <w:rsid w:val="007753D7"/>
  </w:style>
  <w:style w:type="numbering" w:customStyle="1" w:styleId="List27">
    <w:name w:val="List 27"/>
    <w:basedOn w:val="Estiloimportado23"/>
    <w:rsid w:val="007753D7"/>
    <w:pPr>
      <w:numPr>
        <w:numId w:val="41"/>
      </w:numPr>
    </w:pPr>
  </w:style>
  <w:style w:type="numbering" w:customStyle="1" w:styleId="Estiloimportado23">
    <w:name w:val="Estilo importado 23"/>
    <w:rsid w:val="007753D7"/>
  </w:style>
  <w:style w:type="numbering" w:customStyle="1" w:styleId="List28">
    <w:name w:val="List 28"/>
    <w:basedOn w:val="Estiloimportado24"/>
    <w:rsid w:val="007753D7"/>
    <w:pPr>
      <w:numPr>
        <w:numId w:val="30"/>
      </w:numPr>
    </w:pPr>
  </w:style>
  <w:style w:type="numbering" w:customStyle="1" w:styleId="Estiloimportado24">
    <w:name w:val="Estilo importado 24"/>
    <w:rsid w:val="007753D7"/>
  </w:style>
  <w:style w:type="numbering" w:customStyle="1" w:styleId="List29">
    <w:name w:val="List 29"/>
    <w:basedOn w:val="Estiloimportado25"/>
    <w:rsid w:val="007753D7"/>
    <w:pPr>
      <w:numPr>
        <w:numId w:val="34"/>
      </w:numPr>
    </w:pPr>
  </w:style>
  <w:style w:type="numbering" w:customStyle="1" w:styleId="Estiloimportado25">
    <w:name w:val="Estilo importado 25"/>
    <w:rsid w:val="007753D7"/>
  </w:style>
  <w:style w:type="numbering" w:customStyle="1" w:styleId="List30">
    <w:name w:val="List 30"/>
    <w:basedOn w:val="Estiloimportado26"/>
    <w:rsid w:val="007753D7"/>
    <w:pPr>
      <w:numPr>
        <w:numId w:val="32"/>
      </w:numPr>
    </w:pPr>
  </w:style>
  <w:style w:type="numbering" w:customStyle="1" w:styleId="Estiloimportado26">
    <w:name w:val="Estilo importado 26"/>
    <w:rsid w:val="007753D7"/>
  </w:style>
  <w:style w:type="numbering" w:customStyle="1" w:styleId="List311">
    <w:name w:val="List 311"/>
    <w:basedOn w:val="Estiloimportado27"/>
    <w:rsid w:val="007753D7"/>
    <w:pPr>
      <w:numPr>
        <w:numId w:val="45"/>
      </w:numPr>
    </w:pPr>
  </w:style>
  <w:style w:type="numbering" w:customStyle="1" w:styleId="Estiloimportado27">
    <w:name w:val="Estilo importado 27"/>
    <w:rsid w:val="007753D7"/>
  </w:style>
  <w:style w:type="numbering" w:customStyle="1" w:styleId="List32">
    <w:name w:val="List 32"/>
    <w:basedOn w:val="Estiloimportado28"/>
    <w:rsid w:val="007753D7"/>
    <w:pPr>
      <w:numPr>
        <w:numId w:val="48"/>
      </w:numPr>
    </w:pPr>
  </w:style>
  <w:style w:type="numbering" w:customStyle="1" w:styleId="Estiloimportado28">
    <w:name w:val="Estilo importado 28"/>
    <w:rsid w:val="007753D7"/>
  </w:style>
  <w:style w:type="paragraph" w:styleId="FootnoteText">
    <w:name w:val="footnote text"/>
    <w:aliases w:val="Footnote Text Char Char Char Char Char,Footnote Text Char Char Char Char,FA Fu,Footnote reference,Footnote Text Char Char Char,FA Fußnotentext,FA Fuﬂnotentext,Texto nota pie Car,Footnote Text Cha,Footnote Text Char Char,footnote text,Ca,ft"/>
    <w:link w:val="FootnoteTextChar"/>
    <w:qFormat/>
    <w:rsid w:val="007753D7"/>
    <w:rPr>
      <w:rFonts w:ascii="Calibri" w:eastAsia="Calibri" w:hAnsi="Calibri" w:cs="Calibri"/>
      <w:color w:val="000000"/>
      <w:u w:color="000000"/>
      <w:lang w:val="en-US"/>
    </w:rPr>
  </w:style>
  <w:style w:type="numbering" w:customStyle="1" w:styleId="List33">
    <w:name w:val="List 33"/>
    <w:basedOn w:val="Estiloimportado29"/>
    <w:rsid w:val="007753D7"/>
    <w:pPr>
      <w:numPr>
        <w:numId w:val="26"/>
      </w:numPr>
    </w:pPr>
  </w:style>
  <w:style w:type="numbering" w:customStyle="1" w:styleId="Estiloimportado29">
    <w:name w:val="Estilo importado 29"/>
    <w:rsid w:val="007753D7"/>
  </w:style>
  <w:style w:type="numbering" w:customStyle="1" w:styleId="List34">
    <w:name w:val="List 34"/>
    <w:basedOn w:val="Estiloimportado30"/>
    <w:rsid w:val="007753D7"/>
    <w:pPr>
      <w:numPr>
        <w:numId w:val="11"/>
      </w:numPr>
    </w:pPr>
  </w:style>
  <w:style w:type="numbering" w:customStyle="1" w:styleId="Estiloimportado30">
    <w:name w:val="Estilo importado 30"/>
    <w:rsid w:val="007753D7"/>
  </w:style>
  <w:style w:type="numbering" w:customStyle="1" w:styleId="List35">
    <w:name w:val="List 35"/>
    <w:basedOn w:val="Estiloimportado31"/>
    <w:rsid w:val="007753D7"/>
    <w:pPr>
      <w:numPr>
        <w:numId w:val="8"/>
      </w:numPr>
    </w:pPr>
  </w:style>
  <w:style w:type="numbering" w:customStyle="1" w:styleId="Estiloimportado31">
    <w:name w:val="Estilo importado 31"/>
    <w:rsid w:val="007753D7"/>
  </w:style>
  <w:style w:type="numbering" w:customStyle="1" w:styleId="List36">
    <w:name w:val="List 36"/>
    <w:basedOn w:val="Estiloimportado32"/>
    <w:rsid w:val="007753D7"/>
    <w:pPr>
      <w:numPr>
        <w:numId w:val="14"/>
      </w:numPr>
    </w:pPr>
  </w:style>
  <w:style w:type="numbering" w:customStyle="1" w:styleId="Estiloimportado32">
    <w:name w:val="Estilo importado 32"/>
    <w:rsid w:val="007753D7"/>
  </w:style>
  <w:style w:type="numbering" w:customStyle="1" w:styleId="List37">
    <w:name w:val="List 37"/>
    <w:basedOn w:val="Estiloimportado33"/>
    <w:rsid w:val="007753D7"/>
    <w:pPr>
      <w:numPr>
        <w:numId w:val="47"/>
      </w:numPr>
    </w:pPr>
  </w:style>
  <w:style w:type="numbering" w:customStyle="1" w:styleId="Estiloimportado33">
    <w:name w:val="Estilo importado 33"/>
    <w:rsid w:val="007753D7"/>
  </w:style>
  <w:style w:type="numbering" w:customStyle="1" w:styleId="List38">
    <w:name w:val="List 38"/>
    <w:basedOn w:val="Estiloimportado34"/>
    <w:rsid w:val="007753D7"/>
    <w:pPr>
      <w:numPr>
        <w:numId w:val="35"/>
      </w:numPr>
    </w:pPr>
  </w:style>
  <w:style w:type="numbering" w:customStyle="1" w:styleId="Estiloimportado34">
    <w:name w:val="Estilo importado 34"/>
    <w:rsid w:val="007753D7"/>
  </w:style>
  <w:style w:type="numbering" w:customStyle="1" w:styleId="List39">
    <w:name w:val="List 39"/>
    <w:basedOn w:val="Estiloimportado35"/>
    <w:rsid w:val="007753D7"/>
    <w:pPr>
      <w:numPr>
        <w:numId w:val="46"/>
      </w:numPr>
    </w:pPr>
  </w:style>
  <w:style w:type="numbering" w:customStyle="1" w:styleId="Estiloimportado35">
    <w:name w:val="Estilo importado 35"/>
    <w:rsid w:val="007753D7"/>
  </w:style>
  <w:style w:type="numbering" w:customStyle="1" w:styleId="List40">
    <w:name w:val="List 40"/>
    <w:basedOn w:val="Estiloimportado36"/>
    <w:rsid w:val="007753D7"/>
    <w:pPr>
      <w:numPr>
        <w:numId w:val="21"/>
      </w:numPr>
    </w:pPr>
  </w:style>
  <w:style w:type="numbering" w:customStyle="1" w:styleId="Estiloimportado36">
    <w:name w:val="Estilo importado 36"/>
    <w:rsid w:val="007753D7"/>
  </w:style>
  <w:style w:type="numbering" w:customStyle="1" w:styleId="List411">
    <w:name w:val="List 411"/>
    <w:basedOn w:val="Estiloimportado37"/>
    <w:rsid w:val="007753D7"/>
    <w:pPr>
      <w:numPr>
        <w:numId w:val="44"/>
      </w:numPr>
    </w:pPr>
  </w:style>
  <w:style w:type="numbering" w:customStyle="1" w:styleId="Estiloimportado37">
    <w:name w:val="Estilo importado 37"/>
    <w:rsid w:val="007753D7"/>
  </w:style>
  <w:style w:type="numbering" w:customStyle="1" w:styleId="List42">
    <w:name w:val="List 42"/>
    <w:basedOn w:val="Estiloimportado12"/>
    <w:rsid w:val="007753D7"/>
    <w:pPr>
      <w:numPr>
        <w:numId w:val="12"/>
      </w:numPr>
    </w:pPr>
  </w:style>
  <w:style w:type="numbering" w:customStyle="1" w:styleId="List43">
    <w:name w:val="List 43"/>
    <w:basedOn w:val="Estiloimportado38"/>
    <w:rsid w:val="007753D7"/>
    <w:pPr>
      <w:numPr>
        <w:numId w:val="23"/>
      </w:numPr>
    </w:pPr>
  </w:style>
  <w:style w:type="numbering" w:customStyle="1" w:styleId="Estiloimportado38">
    <w:name w:val="Estilo importado 38"/>
    <w:rsid w:val="007753D7"/>
  </w:style>
  <w:style w:type="numbering" w:customStyle="1" w:styleId="List44">
    <w:name w:val="List 44"/>
    <w:basedOn w:val="Estiloimportado39"/>
    <w:rsid w:val="007753D7"/>
    <w:pPr>
      <w:numPr>
        <w:numId w:val="40"/>
      </w:numPr>
    </w:pPr>
  </w:style>
  <w:style w:type="numbering" w:customStyle="1" w:styleId="Estiloimportado39">
    <w:name w:val="Estilo importado 39"/>
    <w:rsid w:val="007753D7"/>
  </w:style>
  <w:style w:type="numbering" w:customStyle="1" w:styleId="List45">
    <w:name w:val="List 45"/>
    <w:basedOn w:val="Estiloimportado40"/>
    <w:rsid w:val="007753D7"/>
    <w:pPr>
      <w:numPr>
        <w:numId w:val="20"/>
      </w:numPr>
    </w:pPr>
  </w:style>
  <w:style w:type="numbering" w:customStyle="1" w:styleId="Estiloimportado40">
    <w:name w:val="Estilo importado 40"/>
    <w:rsid w:val="007753D7"/>
  </w:style>
  <w:style w:type="numbering" w:customStyle="1" w:styleId="List46">
    <w:name w:val="List 46"/>
    <w:basedOn w:val="Estiloimportado41"/>
    <w:rsid w:val="007753D7"/>
    <w:pPr>
      <w:numPr>
        <w:numId w:val="24"/>
      </w:numPr>
    </w:pPr>
  </w:style>
  <w:style w:type="numbering" w:customStyle="1" w:styleId="Estiloimportado41">
    <w:name w:val="Estilo importado 41"/>
    <w:rsid w:val="007753D7"/>
  </w:style>
  <w:style w:type="numbering" w:customStyle="1" w:styleId="List47">
    <w:name w:val="List 47"/>
    <w:basedOn w:val="Estiloimportado42"/>
    <w:rsid w:val="007753D7"/>
    <w:pPr>
      <w:numPr>
        <w:numId w:val="29"/>
      </w:numPr>
    </w:pPr>
  </w:style>
  <w:style w:type="numbering" w:customStyle="1" w:styleId="Estiloimportado42">
    <w:name w:val="Estilo importado 42"/>
    <w:rsid w:val="007753D7"/>
  </w:style>
  <w:style w:type="numbering" w:customStyle="1" w:styleId="List48">
    <w:name w:val="List 48"/>
    <w:basedOn w:val="Estiloimportado43"/>
    <w:rsid w:val="007753D7"/>
    <w:pPr>
      <w:numPr>
        <w:numId w:val="50"/>
      </w:numPr>
    </w:pPr>
  </w:style>
  <w:style w:type="numbering" w:customStyle="1" w:styleId="Estiloimportado43">
    <w:name w:val="Estilo importado 43"/>
    <w:rsid w:val="007753D7"/>
  </w:style>
  <w:style w:type="numbering" w:customStyle="1" w:styleId="List49">
    <w:name w:val="List 49"/>
    <w:basedOn w:val="Estiloimportado44"/>
    <w:rsid w:val="007753D7"/>
    <w:pPr>
      <w:numPr>
        <w:numId w:val="39"/>
      </w:numPr>
    </w:pPr>
  </w:style>
  <w:style w:type="numbering" w:customStyle="1" w:styleId="Estiloimportado44">
    <w:name w:val="Estilo importado 44"/>
    <w:rsid w:val="007753D7"/>
  </w:style>
  <w:style w:type="numbering" w:customStyle="1" w:styleId="List50">
    <w:name w:val="List 50"/>
    <w:basedOn w:val="Estiloimportado45"/>
    <w:rsid w:val="007753D7"/>
    <w:pPr>
      <w:numPr>
        <w:numId w:val="37"/>
      </w:numPr>
    </w:pPr>
  </w:style>
  <w:style w:type="numbering" w:customStyle="1" w:styleId="Estiloimportado45">
    <w:name w:val="Estilo importado 45"/>
    <w:rsid w:val="007753D7"/>
  </w:style>
  <w:style w:type="numbering" w:customStyle="1" w:styleId="List511">
    <w:name w:val="List 511"/>
    <w:basedOn w:val="Estiloimportado46"/>
    <w:rsid w:val="007753D7"/>
    <w:pPr>
      <w:numPr>
        <w:numId w:val="33"/>
      </w:numPr>
    </w:pPr>
  </w:style>
  <w:style w:type="numbering" w:customStyle="1" w:styleId="Estiloimportado46">
    <w:name w:val="Estilo importado 46"/>
    <w:rsid w:val="007753D7"/>
  </w:style>
  <w:style w:type="numbering" w:customStyle="1" w:styleId="List52">
    <w:name w:val="List 52"/>
    <w:basedOn w:val="Estiloimportado1"/>
    <w:rsid w:val="007753D7"/>
    <w:pPr>
      <w:numPr>
        <w:numId w:val="9"/>
      </w:numPr>
    </w:pPr>
  </w:style>
  <w:style w:type="paragraph" w:styleId="BalloonText">
    <w:name w:val="Balloon Text"/>
    <w:basedOn w:val="Normal"/>
    <w:link w:val="BalloonTextChar"/>
    <w:semiHidden/>
    <w:unhideWhenUsed/>
    <w:rsid w:val="009B381B"/>
    <w:rPr>
      <w:rFonts w:ascii="Tahoma" w:hAnsi="Tahoma" w:cs="Tahoma"/>
      <w:sz w:val="16"/>
      <w:szCs w:val="16"/>
    </w:rPr>
  </w:style>
  <w:style w:type="character" w:customStyle="1" w:styleId="BalloonTextChar">
    <w:name w:val="Balloon Text Char"/>
    <w:basedOn w:val="DefaultParagraphFont"/>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E24E60"/>
    <w:rPr>
      <w:rFonts w:asciiTheme="majorHAnsi" w:eastAsia="Times New Roman" w:hAnsiTheme="majorHAnsi"/>
      <w:b/>
      <w:bdr w:val="none" w:sz="0" w:space="0" w:color="auto"/>
      <w:lang w:val="es-ES_tradnl"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qFormat/>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qFormat/>
    <w:rsid w:val="004D6582"/>
    <w:pPr>
      <w:tabs>
        <w:tab w:val="left" w:pos="1440"/>
        <w:tab w:val="right" w:leader="dot" w:pos="9440"/>
      </w:tabs>
      <w:spacing w:after="100"/>
    </w:pPr>
    <w:rPr>
      <w:rFonts w:asciiTheme="majorHAnsi" w:hAnsiTheme="majorHAnsi"/>
      <w:b/>
      <w:noProof/>
      <w:sz w:val="20"/>
      <w:szCs w:val="20"/>
    </w:rPr>
  </w:style>
  <w:style w:type="paragraph" w:styleId="TOC3">
    <w:name w:val="toc 3"/>
    <w:basedOn w:val="Normal"/>
    <w:next w:val="Normal"/>
    <w:autoRedefine/>
    <w:uiPriority w:val="39"/>
    <w:unhideWhenUsed/>
    <w:qFormat/>
    <w:rsid w:val="005C4225"/>
    <w:pPr>
      <w:tabs>
        <w:tab w:val="left" w:pos="880"/>
        <w:tab w:val="right" w:leader="dot" w:pos="9350"/>
      </w:tabs>
      <w:spacing w:after="100"/>
      <w:ind w:left="2160" w:hanging="720"/>
    </w:pPr>
  </w:style>
  <w:style w:type="paragraph" w:styleId="TOC4">
    <w:name w:val="toc 4"/>
    <w:basedOn w:val="Normal"/>
    <w:next w:val="Normal"/>
    <w:autoRedefine/>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customStyle="1" w:styleId="Heading3Char">
    <w:name w:val="Heading 3 Char"/>
    <w:basedOn w:val="DefaultParagraphFont"/>
    <w:link w:val="Heading3"/>
    <w:rsid w:val="004B316C"/>
    <w:rPr>
      <w:rFonts w:asciiTheme="majorHAnsi" w:eastAsiaTheme="majorEastAsia" w:hAnsiTheme="majorHAnsi" w:cstheme="majorBidi"/>
      <w:b/>
      <w:bCs/>
      <w:color w:val="4F81BD" w:themeColor="accent1"/>
      <w:sz w:val="24"/>
      <w:szCs w:val="24"/>
      <w:lang w:val="en-US" w:eastAsia="en-US"/>
    </w:rPr>
  </w:style>
  <w:style w:type="character" w:customStyle="1" w:styleId="Heading2Char">
    <w:name w:val="Heading 2 Char"/>
    <w:basedOn w:val="DefaultParagraphFont"/>
    <w:link w:val="Heading2"/>
    <w:rsid w:val="00E24E60"/>
    <w:rPr>
      <w:rFonts w:asciiTheme="majorHAnsi" w:eastAsia="Times New Roman" w:hAnsiTheme="majorHAnsi"/>
      <w:b/>
      <w:bdr w:val="none" w:sz="0" w:space="0" w:color="auto"/>
      <w:lang w:val="es-ES_tradnl" w:eastAsia="en-US"/>
    </w:rPr>
  </w:style>
  <w:style w:type="character" w:customStyle="1" w:styleId="Heading4Char">
    <w:name w:val="Heading 4 Char"/>
    <w:basedOn w:val="DefaultParagraphFont"/>
    <w:link w:val="Heading4"/>
    <w:rsid w:val="004B316C"/>
    <w:rPr>
      <w:rFonts w:ascii="Arial" w:eastAsia="Times New Roman" w:hAnsi="Arial"/>
      <w:b/>
      <w:sz w:val="24"/>
      <w:bdr w:val="none" w:sz="0" w:space="0" w:color="auto"/>
      <w:lang w:val="en-US" w:eastAsia="en-US"/>
    </w:rPr>
  </w:style>
  <w:style w:type="character" w:customStyle="1" w:styleId="Heading5Char">
    <w:name w:val="Heading 5 Char"/>
    <w:basedOn w:val="DefaultParagraphFont"/>
    <w:link w:val="Heading5"/>
    <w:rsid w:val="004B316C"/>
    <w:rPr>
      <w:rFonts w:eastAsia="Times New Roman"/>
      <w:sz w:val="22"/>
      <w:bdr w:val="none" w:sz="0" w:space="0" w:color="auto"/>
      <w:lang w:val="en-US" w:eastAsia="en-US"/>
    </w:rPr>
  </w:style>
  <w:style w:type="character" w:customStyle="1" w:styleId="Heading6Char">
    <w:name w:val="Heading 6 Char"/>
    <w:basedOn w:val="DefaultParagraphFont"/>
    <w:link w:val="Heading6"/>
    <w:rsid w:val="004B316C"/>
    <w:rPr>
      <w:rFonts w:eastAsia="Times New Roman"/>
      <w:i/>
      <w:sz w:val="22"/>
      <w:bdr w:val="none" w:sz="0" w:space="0" w:color="auto"/>
      <w:lang w:val="en-US" w:eastAsia="en-US"/>
    </w:rPr>
  </w:style>
  <w:style w:type="character" w:customStyle="1" w:styleId="Heading7Char">
    <w:name w:val="Heading 7 Char"/>
    <w:basedOn w:val="DefaultParagraphFont"/>
    <w:link w:val="Heading7"/>
    <w:rsid w:val="004B316C"/>
    <w:rPr>
      <w:rFonts w:ascii="Arial" w:eastAsia="Times New Roman" w:hAnsi="Arial"/>
      <w:bdr w:val="none" w:sz="0" w:space="0" w:color="auto"/>
      <w:lang w:val="en-US" w:eastAsia="en-US"/>
    </w:rPr>
  </w:style>
  <w:style w:type="character" w:customStyle="1" w:styleId="Heading8Char">
    <w:name w:val="Heading 8 Char"/>
    <w:basedOn w:val="DefaultParagraphFont"/>
    <w:link w:val="Heading8"/>
    <w:rsid w:val="004B316C"/>
    <w:rPr>
      <w:rFonts w:ascii="Arial" w:eastAsia="Times New Roman" w:hAnsi="Arial"/>
      <w:i/>
      <w:bdr w:val="none" w:sz="0" w:space="0" w:color="auto"/>
      <w:lang w:val="en-US" w:eastAsia="en-US"/>
    </w:rPr>
  </w:style>
  <w:style w:type="character" w:customStyle="1" w:styleId="Heading9Char">
    <w:name w:val="Heading 9 Char"/>
    <w:basedOn w:val="DefaultParagraphFont"/>
    <w:link w:val="Heading9"/>
    <w:rsid w:val="004B316C"/>
    <w:rPr>
      <w:rFonts w:ascii="Arial" w:eastAsia="Times New Roman" w:hAnsi="Arial"/>
      <w:b/>
      <w:i/>
      <w:sz w:val="18"/>
      <w:bdr w:val="none" w:sz="0" w:space="0" w:color="auto"/>
      <w:lang w:val="en-US" w:eastAsia="en-US"/>
    </w:rPr>
  </w:style>
  <w:style w:type="numbering" w:customStyle="1" w:styleId="NoList1">
    <w:name w:val="No List1"/>
    <w:next w:val="NoList"/>
    <w:semiHidden/>
    <w:unhideWhenUsed/>
    <w:rsid w:val="004B316C"/>
  </w:style>
  <w:style w:type="character" w:customStyle="1" w:styleId="BodyTextIndentChar">
    <w:name w:val="Body Text Indent Char"/>
    <w:basedOn w:val="DefaultParagraphFont"/>
    <w:link w:val="BodyTextIndent"/>
    <w:rsid w:val="004B316C"/>
    <w:rPr>
      <w:rFonts w:eastAsia="Times New Roman"/>
      <w:color w:val="000000"/>
      <w:sz w:val="24"/>
      <w:szCs w:val="24"/>
      <w:u w:color="000000"/>
      <w:lang w:val="es-ES_tradnl"/>
    </w:rPr>
  </w:style>
  <w:style w:type="character" w:customStyle="1" w:styleId="FootnoteTextChar">
    <w:name w:val="Footnote Text Char"/>
    <w:aliases w:val="Footnote Text Char Char Char Char Char Char,Footnote Text Char Char Char Char Char1,FA Fu Char,Footnote reference Char,Footnote Text Char Char Char Char1,FA Fußnotentext Char,FA Fuﬂnotentext Char,Texto nota pie Car Char,Ca Char"/>
    <w:basedOn w:val="DefaultParagraphFont"/>
    <w:link w:val="FootnoteText"/>
    <w:qFormat/>
    <w:rsid w:val="004B316C"/>
    <w:rPr>
      <w:rFonts w:ascii="Calibri" w:eastAsia="Calibri" w:hAnsi="Calibri" w:cs="Calibri"/>
      <w:color w:val="000000"/>
      <w:u w:color="000000"/>
      <w:lang w:val="en-US"/>
    </w:rPr>
  </w:style>
  <w:style w:type="character" w:styleId="FootnoteReference">
    <w:name w:val="footnote reference"/>
    <w:aliases w:val="Footnotes refss,Texto de nota al pie,Appel note de bas de page,Footnote number,referencia nota al pie,BVI fnr,f,Ref. de nota al pie.,Footnote symbol,Footnote,4_G,16 Point,Superscript 6 Point,Texto nota al pie,Ref. de nota al pi,Ref,R"/>
    <w:link w:val="BVIfnrCar1CarCarCarCar"/>
    <w:qFormat/>
    <w:rsid w:val="004B316C"/>
    <w:rPr>
      <w:rFonts w:ascii="Verdana" w:hAnsi="Verdana"/>
      <w:sz w:val="22"/>
      <w:vertAlign w:val="superscript"/>
    </w:rPr>
  </w:style>
  <w:style w:type="character" w:customStyle="1" w:styleId="Style">
    <w:name w:val="Style"/>
    <w:rsid w:val="004B316C"/>
    <w:rPr>
      <w:rFonts w:ascii="Times New Roman" w:hAnsi="Times New Roman"/>
      <w:sz w:val="22"/>
      <w:vertAlign w:val="superscript"/>
    </w:rPr>
  </w:style>
  <w:style w:type="paragraph" w:customStyle="1" w:styleId="Style1">
    <w:name w:val="Style1"/>
    <w:basedOn w:val="FootnoteText"/>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pPr>
    <w:rPr>
      <w:rFonts w:ascii="Univers" w:eastAsia="Times New Roman" w:hAnsi="Univers" w:cs="Times New Roman"/>
      <w:color w:val="auto"/>
      <w:sz w:val="16"/>
      <w:szCs w:val="16"/>
      <w:bdr w:val="none" w:sz="0" w:space="0" w:color="auto"/>
      <w:lang w:val="es-PY" w:eastAsia="en-US"/>
    </w:rPr>
  </w:style>
  <w:style w:type="paragraph" w:customStyle="1" w:styleId="Style10">
    <w:name w:val="Style 1"/>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408" w:lineRule="atLeast"/>
      <w:jc w:val="both"/>
    </w:pPr>
    <w:rPr>
      <w:rFonts w:eastAsia="Times New Roman"/>
      <w:bdr w:val="none" w:sz="0" w:space="0" w:color="auto"/>
    </w:rPr>
  </w:style>
  <w:style w:type="paragraph" w:customStyle="1" w:styleId="Style4">
    <w:name w:val="Style 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408" w:lineRule="atLeast"/>
      <w:jc w:val="both"/>
    </w:pPr>
    <w:rPr>
      <w:rFonts w:eastAsia="Times New Roman"/>
      <w:bdr w:val="none" w:sz="0" w:space="0" w:color="auto"/>
    </w:rPr>
  </w:style>
  <w:style w:type="paragraph" w:customStyle="1" w:styleId="Style31">
    <w:name w:val="Style 3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3204" w:line="1116" w:lineRule="exact"/>
      <w:jc w:val="center"/>
    </w:pPr>
    <w:rPr>
      <w:rFonts w:eastAsia="Times New Roman"/>
      <w:bdr w:val="none" w:sz="0" w:space="0" w:color="auto"/>
    </w:rPr>
  </w:style>
  <w:style w:type="paragraph" w:customStyle="1" w:styleId="Style36">
    <w:name w:val="Style 3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right="72"/>
      <w:jc w:val="both"/>
    </w:pPr>
    <w:rPr>
      <w:rFonts w:eastAsia="Times New Roman"/>
      <w:bdr w:val="none" w:sz="0" w:space="0" w:color="auto"/>
    </w:rPr>
  </w:style>
  <w:style w:type="paragraph" w:customStyle="1" w:styleId="Style11">
    <w:name w:val="Style 1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jc w:val="both"/>
    </w:pPr>
    <w:rPr>
      <w:rFonts w:eastAsia="Times New Roman"/>
      <w:bdr w:val="none" w:sz="0" w:space="0" w:color="auto"/>
    </w:rPr>
  </w:style>
  <w:style w:type="paragraph" w:customStyle="1" w:styleId="Style14">
    <w:name w:val="Style 1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84" w:lineRule="atLeast"/>
      <w:ind w:left="504" w:right="72" w:hanging="504"/>
      <w:jc w:val="both"/>
    </w:pPr>
    <w:rPr>
      <w:rFonts w:eastAsia="Times New Roman"/>
      <w:bdr w:val="none" w:sz="0" w:space="0" w:color="auto"/>
    </w:rPr>
  </w:style>
  <w:style w:type="paragraph" w:customStyle="1" w:styleId="Style27">
    <w:name w:val="Style 2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96" w:line="360" w:lineRule="auto"/>
      <w:ind w:left="360" w:hanging="360"/>
      <w:jc w:val="both"/>
    </w:pPr>
    <w:rPr>
      <w:rFonts w:eastAsia="Times New Roman"/>
      <w:bdr w:val="none" w:sz="0" w:space="0" w:color="auto"/>
    </w:rPr>
  </w:style>
  <w:style w:type="paragraph" w:customStyle="1" w:styleId="Style16">
    <w:name w:val="Style 1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60" w:hanging="360"/>
      <w:jc w:val="both"/>
    </w:pPr>
    <w:rPr>
      <w:rFonts w:eastAsia="Times New Roman"/>
      <w:bdr w:val="none" w:sz="0" w:space="0" w:color="auto"/>
    </w:rPr>
  </w:style>
  <w:style w:type="paragraph" w:customStyle="1" w:styleId="Style17">
    <w:name w:val="Style 1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9">
    <w:name w:val="Style 1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ind w:left="504" w:right="72" w:hanging="504"/>
      <w:jc w:val="both"/>
    </w:pPr>
    <w:rPr>
      <w:rFonts w:eastAsia="Times New Roman"/>
      <w:bdr w:val="none" w:sz="0" w:space="0" w:color="auto"/>
    </w:rPr>
  </w:style>
  <w:style w:type="paragraph" w:customStyle="1" w:styleId="Style21">
    <w:name w:val="Style 21"/>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jc w:val="both"/>
    </w:pPr>
    <w:rPr>
      <w:rFonts w:eastAsia="Times New Roman"/>
      <w:bdr w:val="none" w:sz="0" w:space="0" w:color="auto"/>
    </w:rPr>
  </w:style>
  <w:style w:type="paragraph" w:customStyle="1" w:styleId="Style22">
    <w:name w:val="Style 2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16"/>
      <w:ind w:right="864"/>
    </w:pPr>
    <w:rPr>
      <w:rFonts w:eastAsia="Times New Roman"/>
      <w:bdr w:val="none" w:sz="0" w:space="0" w:color="auto"/>
    </w:rPr>
  </w:style>
  <w:style w:type="paragraph" w:customStyle="1" w:styleId="Style24">
    <w:name w:val="Style 24"/>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left="504" w:right="72" w:hanging="504"/>
      <w:jc w:val="both"/>
    </w:pPr>
    <w:rPr>
      <w:rFonts w:eastAsia="Times New Roman"/>
      <w:bdr w:val="none" w:sz="0" w:space="0" w:color="auto"/>
    </w:rPr>
  </w:style>
  <w:style w:type="paragraph" w:styleId="DocumentMap">
    <w:name w:val="Document Map"/>
    <w:basedOn w:val="Normal"/>
    <w:link w:val="DocumentMapChar"/>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rPr>
  </w:style>
  <w:style w:type="character" w:customStyle="1" w:styleId="DocumentMapChar">
    <w:name w:val="Document Map Char"/>
    <w:basedOn w:val="DefaultParagraphFont"/>
    <w:link w:val="DocumentMap"/>
    <w:semiHidden/>
    <w:rsid w:val="004B316C"/>
    <w:rPr>
      <w:rFonts w:ascii="Tahoma" w:eastAsia="Times New Roman" w:hAnsi="Tahoma" w:cs="Tahoma"/>
      <w:bdr w:val="none" w:sz="0" w:space="0" w:color="auto"/>
      <w:shd w:val="clear" w:color="auto" w:fill="000080"/>
      <w:lang w:val="en-US" w:eastAsia="en-US"/>
    </w:rPr>
  </w:style>
  <w:style w:type="paragraph" w:styleId="BodyText">
    <w:name w:val="Body Text"/>
    <w:aliases w:val="Body Text Char Car Car Car Car Car Car Car Car Car Car Car Car Car,Body Text Char Car Car Car Car Car Car Car Car Car Car Car Car"/>
    <w:basedOn w:val="Normal"/>
    <w:link w:val="BodyText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20"/>
      <w:szCs w:val="20"/>
      <w:bdr w:val="none" w:sz="0" w:space="0" w:color="auto"/>
    </w:rPr>
  </w:style>
  <w:style w:type="character" w:customStyle="1" w:styleId="BodyTextChar">
    <w:name w:val="Body Text Char"/>
    <w:aliases w:val="Body Text Char Car Car Car Car Car Car Car Car Car Car Car Car Car Char1,Body Text Char Car Car Car Car Car Car Car Car Car Car Car Car Char1"/>
    <w:basedOn w:val="DefaultParagraphFont"/>
    <w:link w:val="BodyText"/>
    <w:rsid w:val="004B316C"/>
    <w:rPr>
      <w:rFonts w:eastAsia="Times New Roman"/>
      <w:bdr w:val="none" w:sz="0" w:space="0" w:color="auto"/>
      <w:lang w:val="en-US" w:eastAsia="en-US"/>
    </w:rPr>
  </w:style>
  <w:style w:type="paragraph" w:customStyle="1" w:styleId="Style6">
    <w:name w:val="Style 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jc w:val="both"/>
    </w:pPr>
    <w:rPr>
      <w:rFonts w:eastAsia="Times New Roman"/>
      <w:bdr w:val="none" w:sz="0" w:space="0" w:color="auto"/>
    </w:rPr>
  </w:style>
  <w:style w:type="paragraph" w:customStyle="1" w:styleId="Style29">
    <w:name w:val="Style 29"/>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right="72"/>
      <w:jc w:val="both"/>
    </w:pPr>
    <w:rPr>
      <w:rFonts w:eastAsia="Times New Roman"/>
      <w:bdr w:val="none" w:sz="0" w:space="0" w:color="auto"/>
    </w:rPr>
  </w:style>
  <w:style w:type="paragraph" w:customStyle="1" w:styleId="Style28">
    <w:name w:val="Style 2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ind w:left="72"/>
      <w:jc w:val="both"/>
    </w:pPr>
    <w:rPr>
      <w:rFonts w:eastAsia="Times New Roman"/>
      <w:bdr w:val="none" w:sz="0" w:space="0" w:color="auto"/>
    </w:rPr>
  </w:style>
  <w:style w:type="paragraph" w:customStyle="1" w:styleId="Style26">
    <w:name w:val="Style 26"/>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00">
    <w:name w:val="Style 1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0"/>
      <w:jc w:val="both"/>
    </w:pPr>
    <w:rPr>
      <w:rFonts w:eastAsia="Times New Roman"/>
      <w:bdr w:val="none" w:sz="0" w:space="0" w:color="auto"/>
    </w:rPr>
  </w:style>
  <w:style w:type="paragraph" w:customStyle="1" w:styleId="Style12">
    <w:name w:val="Style 1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pPr>
    <w:rPr>
      <w:rFonts w:eastAsia="Times New Roman"/>
      <w:bdr w:val="none" w:sz="0" w:space="0" w:color="auto"/>
    </w:rPr>
  </w:style>
  <w:style w:type="paragraph" w:customStyle="1" w:styleId="Style13">
    <w:name w:val="Style 13"/>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right="72" w:firstLine="72"/>
      <w:jc w:val="both"/>
    </w:pPr>
    <w:rPr>
      <w:rFonts w:eastAsia="Times New Roman"/>
      <w:bdr w:val="none" w:sz="0" w:space="0" w:color="auto"/>
    </w:rPr>
  </w:style>
  <w:style w:type="paragraph" w:customStyle="1" w:styleId="Style2">
    <w:name w:val="Style 2"/>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15">
    <w:name w:val="Style 1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648" w:right="72"/>
    </w:pPr>
    <w:rPr>
      <w:rFonts w:eastAsia="Times New Roman"/>
      <w:bdr w:val="none" w:sz="0" w:space="0" w:color="auto"/>
    </w:rPr>
  </w:style>
  <w:style w:type="paragraph" w:customStyle="1" w:styleId="Style25">
    <w:name w:val="Style 2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pPr>
    <w:rPr>
      <w:rFonts w:eastAsia="Times New Roman"/>
      <w:bdr w:val="none" w:sz="0" w:space="0" w:color="auto"/>
    </w:rPr>
  </w:style>
  <w:style w:type="paragraph" w:customStyle="1" w:styleId="Style18">
    <w:name w:val="Style 18"/>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bdr w:val="none" w:sz="0" w:space="0" w:color="auto"/>
    </w:rPr>
  </w:style>
  <w:style w:type="paragraph" w:customStyle="1" w:styleId="Style20">
    <w:name w:val="Style 20"/>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pPr>
    <w:rPr>
      <w:rFonts w:eastAsia="Times New Roman"/>
      <w:bdr w:val="none" w:sz="0" w:space="0" w:color="auto"/>
    </w:rPr>
  </w:style>
  <w:style w:type="table" w:styleId="TableGrid">
    <w:name w:val="Table Grid"/>
    <w:basedOn w:val="TableNormal"/>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Normal (Web) Char1,Normal (Web) Char Char,Normal (Web) Char1 Char,Normal (Web) Char Char Char"/>
    <w:basedOn w:val="Normal"/>
    <w:uiPriority w:val="99"/>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4B316C"/>
    <w:rPr>
      <w:b/>
      <w:bCs/>
    </w:rPr>
  </w:style>
  <w:style w:type="character" w:customStyle="1" w:styleId="Heading1CharCharCharCharCharChar">
    <w:name w:val="Heading 1 Char Char Char Char Char Char"/>
    <w:rsid w:val="004B316C"/>
    <w:rPr>
      <w:rFonts w:ascii="Univers" w:hAnsi="Univers" w:cs="Arial"/>
      <w:kern w:val="36"/>
      <w:sz w:val="22"/>
      <w:szCs w:val="22"/>
      <w:lang w:val="en-US" w:eastAsia="en-US" w:bidi="ar-SA"/>
    </w:rPr>
  </w:style>
  <w:style w:type="paragraph" w:styleId="BodyTextIndent2">
    <w:name w:val="Body Text Indent 2"/>
    <w:basedOn w:val="Normal"/>
    <w:link w:val="BodyTextIndent2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 w:val="20"/>
      <w:szCs w:val="20"/>
      <w:bdr w:val="none" w:sz="0" w:space="0" w:color="auto"/>
    </w:rPr>
  </w:style>
  <w:style w:type="character" w:customStyle="1" w:styleId="BodyTextIndent2Char">
    <w:name w:val="Body Text Indent 2 Char"/>
    <w:basedOn w:val="DefaultParagraphFont"/>
    <w:link w:val="BodyTextIndent2"/>
    <w:rsid w:val="004B316C"/>
    <w:rPr>
      <w:rFonts w:eastAsia="Times New Roman"/>
      <w:bdr w:val="none" w:sz="0" w:space="0" w:color="auto"/>
      <w:lang w:val="en-US" w:eastAsia="en-US"/>
    </w:rPr>
  </w:style>
  <w:style w:type="paragraph" w:customStyle="1" w:styleId="Default">
    <w:name w:val="Default"/>
    <w:link w:val="DefaultChar"/>
    <w:rsid w:val="004B316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ju-005fpara--char">
    <w:name w:val="ju-005fpara--char"/>
    <w:basedOn w:val="DefaultParagraphFont"/>
    <w:rsid w:val="004B316C"/>
  </w:style>
  <w:style w:type="paragraph" w:customStyle="1" w:styleId="Sinespaciado">
    <w:name w:val="Sin espaciado"/>
    <w:qFormat/>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character" w:customStyle="1" w:styleId="normal--char">
    <w:name w:val="normal--char"/>
    <w:basedOn w:val="DefaultParagraphFont"/>
    <w:rsid w:val="004B316C"/>
  </w:style>
  <w:style w:type="paragraph" w:styleId="Title">
    <w:name w:val="Title"/>
    <w:basedOn w:val="Normal"/>
    <w:link w:val="TitleChar"/>
    <w:qFormat/>
    <w:rsid w:val="004B316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b/>
      <w:sz w:val="22"/>
      <w:szCs w:val="20"/>
      <w:bdr w:val="none" w:sz="0" w:space="0" w:color="auto"/>
      <w:lang w:val="es-ES"/>
    </w:rPr>
  </w:style>
  <w:style w:type="character" w:customStyle="1" w:styleId="TitleChar">
    <w:name w:val="Title Char"/>
    <w:basedOn w:val="DefaultParagraphFont"/>
    <w:link w:val="Title"/>
    <w:rsid w:val="004B316C"/>
    <w:rPr>
      <w:rFonts w:ascii="Univers" w:eastAsia="Times New Roman" w:hAnsi="Univers"/>
      <w:b/>
      <w:sz w:val="22"/>
      <w:bdr w:val="none" w:sz="0" w:space="0" w:color="auto"/>
      <w:lang w:eastAsia="en-US"/>
    </w:rPr>
  </w:style>
  <w:style w:type="character" w:customStyle="1" w:styleId="antetitulo1">
    <w:name w:val="antetitulo1"/>
    <w:rsid w:val="004B316C"/>
    <w:rPr>
      <w:rFonts w:ascii="Verdana" w:hAnsi="Verdana"/>
      <w:b w:val="0"/>
      <w:bCs w:val="0"/>
      <w:strike w:val="0"/>
      <w:dstrike w:val="0"/>
      <w:color w:val="CC0000"/>
      <w:sz w:val="15"/>
      <w:szCs w:val="15"/>
      <w:u w:val="none"/>
      <w:effect w:val="none"/>
    </w:rPr>
  </w:style>
  <w:style w:type="character" w:customStyle="1" w:styleId="ju-005fcase-0020char--char">
    <w:name w:val="ju-005fcase-0020char--char"/>
    <w:basedOn w:val="DefaultParagraphFont"/>
    <w:rsid w:val="004B316C"/>
  </w:style>
  <w:style w:type="paragraph" w:customStyle="1" w:styleId="Blockquote">
    <w:name w:val="Blockquote"/>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before="100" w:after="100"/>
      <w:ind w:left="360" w:right="360"/>
    </w:pPr>
    <w:rPr>
      <w:rFonts w:eastAsia="Times New Roman"/>
      <w:snapToGrid w:val="0"/>
      <w:szCs w:val="20"/>
      <w:bdr w:val="none" w:sz="0" w:space="0" w:color="auto"/>
    </w:rPr>
  </w:style>
  <w:style w:type="paragraph" w:styleId="TOC5">
    <w:name w:val="toc 5"/>
    <w:basedOn w:val="Normal"/>
    <w:next w:val="Normal"/>
    <w:autoRedefine/>
    <w:semiHidden/>
    <w:rsid w:val="004B316C"/>
    <w:pPr>
      <w:pBdr>
        <w:top w:val="none" w:sz="0" w:space="0" w:color="auto"/>
        <w:left w:val="none" w:sz="0" w:space="0" w:color="auto"/>
        <w:bottom w:val="none" w:sz="0" w:space="0" w:color="auto"/>
        <w:right w:val="none" w:sz="0" w:space="0" w:color="auto"/>
        <w:between w:val="none" w:sz="0" w:space="0" w:color="auto"/>
        <w:bar w:val="none" w:sz="0" w:color="auto"/>
      </w:pBdr>
      <w:ind w:left="800"/>
    </w:pPr>
    <w:rPr>
      <w:rFonts w:eastAsia="Times New Roman"/>
      <w:sz w:val="20"/>
      <w:szCs w:val="20"/>
      <w:bdr w:val="none" w:sz="0" w:space="0" w:color="auto"/>
    </w:rPr>
  </w:style>
  <w:style w:type="character" w:customStyle="1" w:styleId="TextonotapieCar1">
    <w:name w:val="Texto nota pie Car1"/>
    <w:aliases w:val="ft Car,FA Fu Car,Footnote Text Char Char Char Char Char Car,Footnote Text Char Char Char Char Car,Footnote reference Car,Texto nota pie Car Car,Footnote Text Char Char Char Car,texto de nota al pie Car,FA Fußnotentext Car"/>
    <w:semiHidden/>
    <w:locked/>
    <w:rsid w:val="004B316C"/>
    <w:rPr>
      <w:rFonts w:cs="Times New Roman"/>
      <w:lang w:val="es-ES_tradnl" w:eastAsia="en-US" w:bidi="ar-SA"/>
    </w:rPr>
  </w:style>
  <w:style w:type="paragraph" w:customStyle="1" w:styleId="Car">
    <w:name w:val="Car"/>
    <w:basedOn w:val="Normal"/>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eastAsia="Times New Roman"/>
      <w:noProof/>
      <w:color w:val="000000"/>
      <w:sz w:val="20"/>
      <w:szCs w:val="20"/>
      <w:bdr w:val="none" w:sz="0" w:space="0" w:color="auto"/>
      <w:lang w:val="es-CO" w:eastAsia="es-ES"/>
    </w:rPr>
  </w:style>
  <w:style w:type="paragraph" w:customStyle="1" w:styleId="Prrafonumerado">
    <w:name w:val="Párrafo numerado"/>
    <w:basedOn w:val="Normal"/>
    <w:autoRedefine/>
    <w:rsid w:val="004B316C"/>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right="760"/>
      <w:jc w:val="both"/>
    </w:pPr>
    <w:rPr>
      <w:rFonts w:ascii="Univers" w:eastAsia="Times New Roman" w:hAnsi="Univers"/>
      <w:sz w:val="18"/>
      <w:szCs w:val="18"/>
      <w:bdr w:val="none" w:sz="0" w:space="0" w:color="auto"/>
      <w:lang w:val="es-CO" w:eastAsia="es-ES"/>
    </w:rPr>
  </w:style>
  <w:style w:type="paragraph" w:styleId="BodyText3">
    <w:name w:val="Body Text 3"/>
    <w:basedOn w:val="Normal"/>
    <w:link w:val="BodyTex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 w:val="16"/>
      <w:szCs w:val="16"/>
      <w:bdr w:val="none" w:sz="0" w:space="0" w:color="auto"/>
    </w:rPr>
  </w:style>
  <w:style w:type="character" w:customStyle="1" w:styleId="BodyText3Char">
    <w:name w:val="Body Text 3 Char"/>
    <w:basedOn w:val="DefaultParagraphFont"/>
    <w:link w:val="BodyText3"/>
    <w:rsid w:val="004B316C"/>
    <w:rPr>
      <w:rFonts w:eastAsia="Times New Roman"/>
      <w:sz w:val="16"/>
      <w:szCs w:val="16"/>
      <w:bdr w:val="none" w:sz="0" w:space="0" w:color="auto"/>
      <w:lang w:val="en-US" w:eastAsia="en-US"/>
    </w:rPr>
  </w:style>
  <w:style w:type="paragraph" w:styleId="BodyTextIndent3">
    <w:name w:val="Body Text Indent 3"/>
    <w:basedOn w:val="Normal"/>
    <w:link w:val="BodyTextIndent3Char"/>
    <w:rsid w:val="004B316C"/>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rsid w:val="004B316C"/>
    <w:rPr>
      <w:rFonts w:eastAsia="Times New Roman"/>
      <w:sz w:val="16"/>
      <w:szCs w:val="16"/>
      <w:bdr w:val="none" w:sz="0" w:space="0" w:color="auto"/>
      <w:lang w:val="en-US" w:eastAsia="en-US"/>
    </w:rPr>
  </w:style>
  <w:style w:type="character" w:customStyle="1" w:styleId="FootnoteCharacters">
    <w:name w:val="Footnote Characters"/>
    <w:rsid w:val="004B316C"/>
    <w:rPr>
      <w:vertAlign w:val="superscript"/>
    </w:rPr>
  </w:style>
  <w:style w:type="character" w:customStyle="1" w:styleId="WW-FootnoteCharacters">
    <w:name w:val="WW-Footnote Characters"/>
    <w:rsid w:val="004B316C"/>
    <w:rPr>
      <w:rFonts w:ascii="Universal" w:hAnsi="Universal"/>
      <w:sz w:val="16"/>
      <w:vertAlign w:val="superscript"/>
    </w:rPr>
  </w:style>
  <w:style w:type="character" w:customStyle="1" w:styleId="textonavy1">
    <w:name w:val="texto_navy1"/>
    <w:rsid w:val="004B316C"/>
    <w:rPr>
      <w:color w:val="000080"/>
    </w:rPr>
  </w:style>
  <w:style w:type="paragraph" w:customStyle="1" w:styleId="Style3">
    <w:name w:val="Style 3"/>
    <w:basedOn w:val="Normal"/>
    <w:uiPriority w:val="99"/>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60" w:lineRule="auto"/>
      <w:jc w:val="both"/>
    </w:pPr>
    <w:rPr>
      <w:rFonts w:eastAsia="Times New Roman"/>
      <w:bdr w:val="none" w:sz="0" w:space="0" w:color="auto"/>
    </w:rPr>
  </w:style>
  <w:style w:type="paragraph" w:customStyle="1" w:styleId="Style5">
    <w:name w:val="Style 5"/>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52" w:line="360" w:lineRule="auto"/>
      <w:jc w:val="both"/>
    </w:pPr>
    <w:rPr>
      <w:rFonts w:eastAsia="Times New Roman"/>
      <w:bdr w:val="none" w:sz="0" w:space="0" w:color="auto"/>
    </w:rPr>
  </w:style>
  <w:style w:type="paragraph" w:customStyle="1" w:styleId="Style7">
    <w:name w:val="Style 7"/>
    <w:basedOn w:val="Normal"/>
    <w:rsid w:val="004B316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60" w:line="360" w:lineRule="auto"/>
      <w:ind w:right="72"/>
      <w:jc w:val="both"/>
    </w:pPr>
    <w:rPr>
      <w:rFonts w:eastAsia="Times New Roman"/>
      <w:bdr w:val="none" w:sz="0" w:space="0" w:color="auto"/>
    </w:rPr>
  </w:style>
  <w:style w:type="character" w:styleId="Emphasis">
    <w:name w:val="Emphasis"/>
    <w:qFormat/>
    <w:rsid w:val="004B316C"/>
    <w:rPr>
      <w:i/>
      <w:iCs/>
    </w:rPr>
  </w:style>
  <w:style w:type="character" w:styleId="CommentReference">
    <w:name w:val="annotation reference"/>
    <w:semiHidden/>
    <w:rsid w:val="004B316C"/>
    <w:rPr>
      <w:sz w:val="16"/>
      <w:szCs w:val="16"/>
    </w:rPr>
  </w:style>
  <w:style w:type="paragraph" w:styleId="CommentText">
    <w:name w:val="annotation text"/>
    <w:basedOn w:val="Normal"/>
    <w:link w:val="CommentTextChar"/>
    <w:rsid w:val="004B316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rPr>
  </w:style>
  <w:style w:type="character" w:customStyle="1" w:styleId="CommentTextChar">
    <w:name w:val="Comment Text Char"/>
    <w:basedOn w:val="DefaultParagraphFont"/>
    <w:link w:val="CommentText"/>
    <w:semiHidden/>
    <w:rsid w:val="004B316C"/>
    <w:rPr>
      <w:rFonts w:eastAsia="Times New Roman"/>
      <w:bdr w:val="none" w:sz="0" w:space="0" w:color="auto"/>
      <w:lang w:val="en-US" w:eastAsia="en-US"/>
    </w:rPr>
  </w:style>
  <w:style w:type="character" w:customStyle="1" w:styleId="st1">
    <w:name w:val="st1"/>
    <w:basedOn w:val="DefaultParagraphFont"/>
    <w:rsid w:val="006F34E3"/>
  </w:style>
  <w:style w:type="paragraph" w:styleId="BodyText2">
    <w:name w:val="Body Text 2"/>
    <w:basedOn w:val="Normal"/>
    <w:link w:val="BodyText2Char"/>
    <w:unhideWhenUsed/>
    <w:rsid w:val="005F74FD"/>
    <w:pPr>
      <w:spacing w:after="120" w:line="480" w:lineRule="auto"/>
    </w:pPr>
  </w:style>
  <w:style w:type="character" w:customStyle="1" w:styleId="BodyText2Char">
    <w:name w:val="Body Text 2 Char"/>
    <w:basedOn w:val="DefaultParagraphFont"/>
    <w:link w:val="BodyText2"/>
    <w:semiHidden/>
    <w:rsid w:val="005F74FD"/>
    <w:rPr>
      <w:sz w:val="24"/>
      <w:szCs w:val="24"/>
      <w:lang w:val="en-US" w:eastAsia="en-US"/>
    </w:rPr>
  </w:style>
  <w:style w:type="paragraph" w:styleId="PlainText">
    <w:name w:val="Plain Text"/>
    <w:basedOn w:val="Normal"/>
    <w:link w:val="PlainTextChar"/>
    <w:uiPriority w:val="99"/>
    <w:unhideWhenUsed/>
    <w:rsid w:val="006D5ED9"/>
    <w:rPr>
      <w:rFonts w:ascii="Consolas" w:hAnsi="Consolas" w:cs="Consolas"/>
      <w:sz w:val="21"/>
      <w:szCs w:val="21"/>
    </w:rPr>
  </w:style>
  <w:style w:type="character" w:customStyle="1" w:styleId="PlainTextChar">
    <w:name w:val="Plain Text Char"/>
    <w:basedOn w:val="DefaultParagraphFont"/>
    <w:link w:val="PlainText"/>
    <w:uiPriority w:val="99"/>
    <w:semiHidden/>
    <w:rsid w:val="006D5ED9"/>
    <w:rPr>
      <w:rFonts w:ascii="Consolas" w:hAnsi="Consolas" w:cs="Consolas"/>
      <w:sz w:val="21"/>
      <w:szCs w:val="21"/>
      <w:lang w:val="en-US" w:eastAsia="en-US"/>
    </w:rPr>
  </w:style>
  <w:style w:type="character" w:customStyle="1" w:styleId="ListParagraphChar">
    <w:name w:val="List Paragraph Char"/>
    <w:aliases w:val="Párrafo de lista1 Char,List Paragraph1 Char,List Paragraph11 Char,List Paragraph2 Char"/>
    <w:link w:val="ListParagraph"/>
    <w:uiPriority w:val="34"/>
    <w:locked/>
    <w:rsid w:val="00AA09B7"/>
    <w:rPr>
      <w:rFonts w:ascii="Cambria" w:eastAsia="Cambria" w:hAnsi="Cambria" w:cs="Cambria"/>
      <w:color w:val="000000"/>
      <w:sz w:val="24"/>
      <w:szCs w:val="24"/>
      <w:u w:color="000000"/>
      <w:lang w:val="en-US"/>
    </w:rPr>
  </w:style>
  <w:style w:type="character" w:customStyle="1" w:styleId="BodyTextChar1">
    <w:name w:val="Body Text Char1"/>
    <w:aliases w:val="Body Text Char Char,Body Text Char Car Car Car Car Car Car Car Car Car Car Car Car Car Char,Body Text Char Car Car Car Car Car Car Car Car Car Car Car Car Char"/>
    <w:semiHidden/>
    <w:locked/>
    <w:rsid w:val="00E40449"/>
    <w:rPr>
      <w:rFonts w:ascii="Univers" w:eastAsia="Batang" w:hAnsi="Univers"/>
      <w:spacing w:val="-2"/>
      <w:sz w:val="22"/>
      <w:lang w:val="es-ES_tradnl" w:eastAsia="en-US" w:bidi="ar-SA"/>
    </w:rPr>
  </w:style>
  <w:style w:type="character" w:customStyle="1" w:styleId="FootnoteTextChar2">
    <w:name w:val="Footnote Text Char2"/>
    <w:aliases w:val="Footnote Text Char Char Char Char Char Char2,Footnote Text Char Char Char Char Char11,Footnote reference Char2,FA Fu Char2,Footnote Text Char Char Char Char11,Footnote Text Cha Char2,FA Fußnotentext Char2,FA Fuﬂnotentext Char2,f Cha"/>
    <w:semiHidden/>
    <w:locked/>
    <w:rsid w:val="00E40449"/>
    <w:rPr>
      <w:rFonts w:ascii="Univers" w:hAnsi="Univers" w:cs="Times New Roman"/>
      <w:lang w:val="es-ES_tradnl" w:eastAsia="x-none"/>
    </w:rPr>
  </w:style>
  <w:style w:type="paragraph" w:styleId="Subtitle">
    <w:name w:val="Subtitle"/>
    <w:basedOn w:val="Normal"/>
    <w:link w:val="SubtitleChar"/>
    <w:qFormat/>
    <w:rsid w:val="00E40449"/>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Batang" w:hAnsi="Arial" w:cs="Arial"/>
      <w:bdr w:val="none" w:sz="0" w:space="0" w:color="auto"/>
      <w:lang w:val="es-ES_tradnl"/>
    </w:rPr>
  </w:style>
  <w:style w:type="character" w:customStyle="1" w:styleId="SubtitleChar">
    <w:name w:val="Subtitle Char"/>
    <w:basedOn w:val="DefaultParagraphFont"/>
    <w:link w:val="Subtitle"/>
    <w:rsid w:val="00E40449"/>
    <w:rPr>
      <w:rFonts w:ascii="Arial" w:eastAsia="Batang" w:hAnsi="Arial" w:cs="Arial"/>
      <w:sz w:val="24"/>
      <w:szCs w:val="24"/>
      <w:bdr w:val="none" w:sz="0" w:space="0" w:color="auto"/>
      <w:lang w:val="es-ES_tradnl" w:eastAsia="en-US"/>
    </w:rPr>
  </w:style>
  <w:style w:type="paragraph" w:styleId="List2">
    <w:name w:val="List 2"/>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hanging="360"/>
    </w:pPr>
    <w:rPr>
      <w:rFonts w:ascii="Univers" w:eastAsia="Batang" w:hAnsi="Univers"/>
      <w:sz w:val="22"/>
      <w:szCs w:val="20"/>
      <w:bdr w:val="none" w:sz="0" w:space="0" w:color="auto"/>
      <w:lang w:val="es-ES_tradnl"/>
    </w:rPr>
  </w:style>
  <w:style w:type="character" w:customStyle="1" w:styleId="NormalWebChar">
    <w:name w:val="Normal (Web) Char"/>
    <w:aliases w:val="Normal (Web) Char1 Char1,Normal (Web) Char Char Char1,Normal (Web) Char1 Char Char,Normal (Web) Char Char Char Char"/>
    <w:rsid w:val="00E40449"/>
    <w:rPr>
      <w:sz w:val="24"/>
      <w:lang w:val="en-US" w:eastAsia="en-US"/>
    </w:rPr>
  </w:style>
  <w:style w:type="paragraph" w:styleId="BlockText">
    <w:name w:val="Block Text"/>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pPr>
    <w:rPr>
      <w:rFonts w:ascii="Univers" w:eastAsia="Batang" w:hAnsi="Univers"/>
      <w:sz w:val="18"/>
      <w:szCs w:val="20"/>
      <w:bdr w:val="none" w:sz="0" w:space="0" w:color="auto"/>
      <w:lang w:val="es-ES_tradnl"/>
    </w:rPr>
  </w:style>
  <w:style w:type="paragraph" w:styleId="List3">
    <w:name w:val="List 3"/>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ind w:left="1080" w:hanging="360"/>
    </w:pPr>
    <w:rPr>
      <w:rFonts w:ascii="Univers" w:eastAsia="Batang" w:hAnsi="Univers"/>
      <w:sz w:val="22"/>
      <w:szCs w:val="20"/>
      <w:bdr w:val="none" w:sz="0" w:space="0" w:color="auto"/>
      <w:lang w:val="es-ES_tradnl"/>
    </w:rPr>
  </w:style>
  <w:style w:type="paragraph" w:customStyle="1" w:styleId="Sangradetindependiente">
    <w:name w:val="SangrÌa de t. independiente"/>
    <w:basedOn w:val="Normal"/>
    <w:rsid w:val="00E4044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tLeast"/>
    </w:pPr>
    <w:rPr>
      <w:rFonts w:ascii="Garamond" w:eastAsia="Batang" w:hAnsi="Garamond"/>
      <w:szCs w:val="20"/>
      <w:bdr w:val="none" w:sz="0" w:space="0" w:color="auto"/>
      <w:lang w:val="es-ES_tradnl" w:eastAsia="ar-SA"/>
    </w:rPr>
  </w:style>
  <w:style w:type="character" w:styleId="FollowedHyperlink">
    <w:name w:val="FollowedHyperlink"/>
    <w:rsid w:val="00E40449"/>
    <w:rPr>
      <w:rFonts w:cs="Times New Roman"/>
      <w:color w:val="800080"/>
      <w:u w:val="single"/>
    </w:rPr>
  </w:style>
  <w:style w:type="character" w:customStyle="1" w:styleId="ifinal011">
    <w:name w:val="ifinal011"/>
    <w:rsid w:val="00E40449"/>
    <w:rPr>
      <w:rFonts w:ascii="Verdana" w:hAnsi="Verdana"/>
      <w:color w:val="003399"/>
      <w:sz w:val="12"/>
    </w:rPr>
  </w:style>
  <w:style w:type="paragraph" w:customStyle="1" w:styleId="PlaceholderText1">
    <w:name w:val="Placeholder Text1"/>
    <w:basedOn w:val="Normal"/>
    <w:rsid w:val="00E40449"/>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outlineLvl w:val="0"/>
    </w:pPr>
    <w:rPr>
      <w:rFonts w:ascii="Verdana" w:eastAsia="MS Gothic" w:hAnsi="Verdana"/>
      <w:sz w:val="20"/>
      <w:bdr w:val="none" w:sz="0" w:space="0" w:color="auto"/>
      <w:lang w:val="es-ES_tradnl"/>
    </w:rPr>
  </w:style>
  <w:style w:type="paragraph" w:styleId="NoSpacing">
    <w:name w:val="No Spacing"/>
    <w:basedOn w:val="Normal"/>
    <w:uiPriority w:val="1"/>
    <w:qFormat/>
    <w:rsid w:val="00E40449"/>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0"/>
        <w:tab w:val="num" w:pos="720"/>
      </w:tabs>
      <w:ind w:left="1080" w:hanging="360"/>
      <w:outlineLvl w:val="1"/>
    </w:pPr>
    <w:rPr>
      <w:rFonts w:ascii="Verdana" w:eastAsia="MS Gothic" w:hAnsi="Verdana"/>
      <w:sz w:val="20"/>
      <w:bdr w:val="none" w:sz="0" w:space="0" w:color="auto"/>
      <w:lang w:val="es-ES_tradnl"/>
    </w:rPr>
  </w:style>
  <w:style w:type="paragraph" w:customStyle="1" w:styleId="LightShading1">
    <w:name w:val="Light Shading1"/>
    <w:basedOn w:val="Normal"/>
    <w:rsid w:val="00E40449"/>
    <w:pPr>
      <w:keepNext/>
      <w:numPr>
        <w:ilvl w:val="1"/>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1440"/>
      </w:tabs>
      <w:ind w:left="1800"/>
      <w:outlineLvl w:val="2"/>
    </w:pPr>
    <w:rPr>
      <w:rFonts w:ascii="Verdana" w:eastAsia="MS Gothic" w:hAnsi="Verdana"/>
      <w:sz w:val="20"/>
      <w:bdr w:val="none" w:sz="0" w:space="0" w:color="auto"/>
      <w:lang w:val="es-ES_tradnl"/>
    </w:rPr>
  </w:style>
  <w:style w:type="paragraph" w:customStyle="1" w:styleId="LightList1">
    <w:name w:val="Light List1"/>
    <w:basedOn w:val="Normal"/>
    <w:rsid w:val="00E40449"/>
    <w:pPr>
      <w:keepNex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2160"/>
      </w:tabs>
      <w:ind w:left="2520"/>
      <w:outlineLvl w:val="3"/>
    </w:pPr>
    <w:rPr>
      <w:rFonts w:ascii="Verdana" w:eastAsia="MS Gothic" w:hAnsi="Verdana"/>
      <w:sz w:val="20"/>
      <w:bdr w:val="none" w:sz="0" w:space="0" w:color="auto"/>
      <w:lang w:val="es-ES_tradnl"/>
    </w:rPr>
  </w:style>
  <w:style w:type="paragraph" w:customStyle="1" w:styleId="LightGrid1">
    <w:name w:val="Light Grid1"/>
    <w:basedOn w:val="Normal"/>
    <w:rsid w:val="00E40449"/>
    <w:pPr>
      <w:keepNext/>
      <w:numPr>
        <w:ilvl w:val="3"/>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2880"/>
      </w:tabs>
      <w:ind w:left="3240"/>
      <w:outlineLvl w:val="4"/>
    </w:pPr>
    <w:rPr>
      <w:rFonts w:ascii="Verdana" w:eastAsia="MS Gothic" w:hAnsi="Verdana"/>
      <w:sz w:val="20"/>
      <w:bdr w:val="none" w:sz="0" w:space="0" w:color="auto"/>
      <w:lang w:val="es-ES_tradnl"/>
    </w:rPr>
  </w:style>
  <w:style w:type="paragraph" w:customStyle="1" w:styleId="MediumShading11">
    <w:name w:val="Medium Shading 11"/>
    <w:basedOn w:val="Normal"/>
    <w:rsid w:val="00E40449"/>
    <w:pPr>
      <w:keepNext/>
      <w:numPr>
        <w:ilvl w:val="4"/>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880"/>
        <w:tab w:val="num" w:pos="3600"/>
      </w:tabs>
      <w:ind w:left="3960"/>
      <w:outlineLvl w:val="5"/>
    </w:pPr>
    <w:rPr>
      <w:rFonts w:ascii="Verdana" w:eastAsia="MS Gothic" w:hAnsi="Verdana"/>
      <w:sz w:val="20"/>
      <w:bdr w:val="none" w:sz="0" w:space="0" w:color="auto"/>
      <w:lang w:val="es-ES_tradnl"/>
    </w:rPr>
  </w:style>
  <w:style w:type="paragraph" w:customStyle="1" w:styleId="MediumShading21">
    <w:name w:val="Medium Shading 21"/>
    <w:basedOn w:val="Normal"/>
    <w:rsid w:val="00E40449"/>
    <w:pPr>
      <w:keepNext/>
      <w:numPr>
        <w:ilvl w:val="5"/>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3600"/>
        <w:tab w:val="num" w:pos="4320"/>
      </w:tabs>
      <w:ind w:left="4680"/>
      <w:outlineLvl w:val="6"/>
    </w:pPr>
    <w:rPr>
      <w:rFonts w:ascii="Verdana" w:eastAsia="MS Gothic" w:hAnsi="Verdana"/>
      <w:sz w:val="20"/>
      <w:bdr w:val="none" w:sz="0" w:space="0" w:color="auto"/>
      <w:lang w:val="es-ES_tradnl"/>
    </w:rPr>
  </w:style>
  <w:style w:type="paragraph" w:customStyle="1" w:styleId="MediumList11">
    <w:name w:val="Medium List 11"/>
    <w:basedOn w:val="Normal"/>
    <w:rsid w:val="00E40449"/>
    <w:pPr>
      <w:keepNext/>
      <w:numPr>
        <w:ilvl w:val="6"/>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4320"/>
        <w:tab w:val="num" w:pos="5040"/>
      </w:tabs>
      <w:ind w:left="5400"/>
      <w:outlineLvl w:val="7"/>
    </w:pPr>
    <w:rPr>
      <w:rFonts w:ascii="Verdana" w:eastAsia="MS Gothic" w:hAnsi="Verdana"/>
      <w:sz w:val="20"/>
      <w:bdr w:val="none" w:sz="0" w:space="0" w:color="auto"/>
      <w:lang w:val="es-ES_tradnl"/>
    </w:rPr>
  </w:style>
  <w:style w:type="paragraph" w:customStyle="1" w:styleId="MediumList21">
    <w:name w:val="Medium List 21"/>
    <w:basedOn w:val="Normal"/>
    <w:rsid w:val="00E40449"/>
    <w:pPr>
      <w:keepNext/>
      <w:numPr>
        <w:ilvl w:val="7"/>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5040"/>
        <w:tab w:val="num" w:pos="5760"/>
      </w:tabs>
      <w:ind w:left="6120"/>
      <w:outlineLvl w:val="8"/>
    </w:pPr>
    <w:rPr>
      <w:rFonts w:ascii="Verdana" w:eastAsia="MS Gothic" w:hAnsi="Verdana"/>
      <w:sz w:val="20"/>
      <w:bdr w:val="none" w:sz="0" w:space="0" w:color="auto"/>
      <w:lang w:val="es-ES_tradnl"/>
    </w:rPr>
  </w:style>
  <w:style w:type="paragraph" w:customStyle="1" w:styleId="Estilo5">
    <w:name w:val="Estilo5"/>
    <w:basedOn w:val="Heading1"/>
    <w:next w:val="Normal"/>
    <w:rsid w:val="00E40449"/>
    <w:pPr>
      <w:numPr>
        <w:ilvl w:val="8"/>
        <w:numId w:val="56"/>
      </w:numPr>
      <w:tabs>
        <w:tab w:val="clear" w:pos="5760"/>
      </w:tabs>
      <w:spacing w:before="240" w:after="60"/>
      <w:ind w:left="0" w:firstLine="0"/>
      <w:jc w:val="both"/>
    </w:pPr>
    <w:rPr>
      <w:rFonts w:ascii="Verdana" w:eastAsia="Batang" w:hAnsi="Verdana" w:cs="Arial"/>
      <w:b w:val="0"/>
      <w:bCs/>
      <w:kern w:val="32"/>
      <w:szCs w:val="24"/>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ocked/>
    <w:rsid w:val="00E40449"/>
    <w:rPr>
      <w:rFonts w:ascii="Univers" w:eastAsia="Batang" w:hAnsi="Univers"/>
      <w:lang w:val="es-CO" w:eastAsia="en-US" w:bidi="ar-SA"/>
    </w:rPr>
  </w:style>
  <w:style w:type="character" w:customStyle="1" w:styleId="apple-converted-space">
    <w:name w:val="apple-converted-space"/>
    <w:rsid w:val="00E40449"/>
    <w:rPr>
      <w:rFonts w:cs="Times New Roman"/>
    </w:rPr>
  </w:style>
  <w:style w:type="paragraph" w:customStyle="1" w:styleId="Estilo7">
    <w:name w:val="Estilo7"/>
    <w:basedOn w:val="Normal"/>
    <w:rsid w:val="00E40449"/>
    <w:pPr>
      <w:numPr>
        <w:ilvl w:val="2"/>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jc w:val="both"/>
    </w:pPr>
    <w:rPr>
      <w:rFonts w:ascii="Verdana" w:eastAsia="Batang" w:hAnsi="Verdana"/>
      <w:b/>
      <w:i/>
      <w:sz w:val="20"/>
      <w:szCs w:val="20"/>
      <w:bdr w:val="none" w:sz="0" w:space="0" w:color="auto"/>
      <w:lang w:val="es-ES_tradnl" w:eastAsia="es-MX"/>
    </w:rPr>
  </w:style>
  <w:style w:type="character" w:customStyle="1" w:styleId="skypepnhprintcontainer">
    <w:name w:val="skype_pnh_print_container"/>
    <w:rsid w:val="00E40449"/>
    <w:rPr>
      <w:rFonts w:cs="Times New Roman"/>
    </w:rPr>
  </w:style>
  <w:style w:type="character" w:customStyle="1" w:styleId="skypepnhcontainer">
    <w:name w:val="skype_pnh_container"/>
    <w:rsid w:val="00E40449"/>
    <w:rPr>
      <w:rFonts w:cs="Times New Roman"/>
    </w:rPr>
  </w:style>
  <w:style w:type="character" w:customStyle="1" w:styleId="s6b621b36">
    <w:name w:val="s6b621b36"/>
    <w:rsid w:val="00E40449"/>
    <w:rPr>
      <w:rFonts w:cs="Times New Roman"/>
    </w:rPr>
  </w:style>
  <w:style w:type="character" w:customStyle="1" w:styleId="tituloarticulo1">
    <w:name w:val="titulo_articulo1"/>
    <w:rsid w:val="00E40449"/>
    <w:rPr>
      <w:rFonts w:ascii="Arial" w:hAnsi="Arial"/>
      <w:b/>
      <w:sz w:val="36"/>
    </w:rPr>
  </w:style>
  <w:style w:type="paragraph" w:styleId="CommentSubject">
    <w:name w:val="annotation subject"/>
    <w:basedOn w:val="CommentText"/>
    <w:next w:val="CommentText"/>
    <w:link w:val="CommentSubjectChar"/>
    <w:semiHidden/>
    <w:rsid w:val="00E40449"/>
    <w:rPr>
      <w:rFonts w:ascii="Univers" w:eastAsia="Batang" w:hAnsi="Univers"/>
      <w:sz w:val="22"/>
      <w:lang w:val="es-ES_tradnl"/>
    </w:rPr>
  </w:style>
  <w:style w:type="character" w:customStyle="1" w:styleId="CommentSubjectChar">
    <w:name w:val="Comment Subject Char"/>
    <w:basedOn w:val="CommentTextChar"/>
    <w:link w:val="CommentSubject"/>
    <w:semiHidden/>
    <w:rsid w:val="00E40449"/>
    <w:rPr>
      <w:rFonts w:ascii="Univers" w:eastAsia="Batang" w:hAnsi="Univers"/>
      <w:sz w:val="22"/>
      <w:bdr w:val="none" w:sz="0" w:space="0" w:color="auto"/>
      <w:lang w:val="es-ES_tradnl" w:eastAsia="en-US"/>
    </w:rPr>
  </w:style>
  <w:style w:type="character" w:customStyle="1" w:styleId="ListParagraphChar1">
    <w:name w:val="List Paragraph Char1"/>
    <w:aliases w:val="Footnote Char2"/>
    <w:locked/>
    <w:rsid w:val="00E40449"/>
    <w:rPr>
      <w:rFonts w:ascii="Verdana" w:hAnsi="Verdana"/>
      <w:lang w:val="es-ES_tradnl" w:eastAsia="x-none"/>
    </w:rPr>
  </w:style>
  <w:style w:type="paragraph" w:styleId="Revision">
    <w:name w:val="Revision"/>
    <w:hidden/>
    <w:uiPriority w:val="71"/>
    <w:rsid w:val="00E40449"/>
    <w:pPr>
      <w:pBdr>
        <w:top w:val="none" w:sz="0" w:space="0" w:color="auto"/>
        <w:left w:val="none" w:sz="0" w:space="0" w:color="auto"/>
        <w:bottom w:val="none" w:sz="0" w:space="0" w:color="auto"/>
        <w:right w:val="none" w:sz="0" w:space="0" w:color="auto"/>
        <w:between w:val="none" w:sz="0" w:space="0" w:color="auto"/>
        <w:bar w:val="none" w:sz="0" w:color="auto"/>
      </w:pBdr>
    </w:pPr>
    <w:rPr>
      <w:rFonts w:ascii="Univers" w:eastAsia="Batang" w:hAnsi="Univers"/>
      <w:sz w:val="22"/>
      <w:bdr w:val="none" w:sz="0" w:space="0" w:color="auto"/>
      <w:lang w:val="es-ES_tradnl" w:eastAsia="en-US"/>
    </w:rPr>
  </w:style>
  <w:style w:type="character" w:customStyle="1" w:styleId="apple-style-span">
    <w:name w:val="apple-style-span"/>
    <w:rsid w:val="00E40449"/>
  </w:style>
  <w:style w:type="character" w:customStyle="1" w:styleId="DefaultChar">
    <w:name w:val="Default Char"/>
    <w:link w:val="Default"/>
    <w:rsid w:val="00424452"/>
    <w:rPr>
      <w:rFonts w:eastAsia="Times New Roman"/>
      <w:color w:val="000000"/>
      <w:sz w:val="24"/>
      <w:szCs w:val="24"/>
      <w:bdr w:val="none" w:sz="0" w:space="0" w:color="auto"/>
      <w:lang w:val="en-US" w:eastAsia="en-US"/>
    </w:rPr>
  </w:style>
  <w:style w:type="paragraph" w:styleId="TOCHeading">
    <w:name w:val="TOC Heading"/>
    <w:basedOn w:val="Heading1"/>
    <w:next w:val="Normal"/>
    <w:uiPriority w:val="39"/>
    <w:semiHidden/>
    <w:unhideWhenUsed/>
    <w:qFormat/>
    <w:rsid w:val="00526252"/>
    <w:pPr>
      <w:keepLines/>
      <w:spacing w:before="480" w:line="276" w:lineRule="auto"/>
      <w:outlineLvl w:val="9"/>
    </w:pPr>
    <w:rPr>
      <w:rFonts w:eastAsiaTheme="majorEastAsia" w:cstheme="majorBidi"/>
      <w:bCs/>
      <w:color w:val="365F91" w:themeColor="accent1" w:themeShade="BF"/>
      <w:sz w:val="28"/>
      <w:szCs w:val="28"/>
      <w:lang w:val="en-US" w:eastAsia="ja-JP"/>
    </w:rPr>
  </w:style>
  <w:style w:type="paragraph" w:customStyle="1" w:styleId="ColorfulList-Accent12">
    <w:name w:val="Colorful List - Accent 12"/>
    <w:link w:val="ColorfulList-Accent1Char"/>
    <w:uiPriority w:val="34"/>
    <w:qFormat/>
    <w:rsid w:val="005D3C3E"/>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link w:val="ColorfulList-Accent12"/>
    <w:uiPriority w:val="34"/>
    <w:locked/>
    <w:rsid w:val="005D3C3E"/>
    <w:rPr>
      <w:rFonts w:ascii="Cambria" w:eastAsia="Cambria" w:hAnsi="Cambria" w:cs="Cambria"/>
      <w:color w:val="000000"/>
      <w:sz w:val="24"/>
      <w:szCs w:val="24"/>
      <w:u w:color="000000"/>
      <w:lang w:val="en-US"/>
    </w:rPr>
  </w:style>
  <w:style w:type="paragraph" w:customStyle="1" w:styleId="footnote">
    <w:name w:val="footnote"/>
    <w:basedOn w:val="NormalWeb"/>
    <w:rsid w:val="009E12CB"/>
  </w:style>
  <w:style w:type="character" w:styleId="PlaceholderText">
    <w:name w:val="Placeholder Text"/>
    <w:basedOn w:val="DefaultParagraphFont"/>
    <w:uiPriority w:val="99"/>
    <w:semiHidden/>
    <w:rsid w:val="00C762F5"/>
    <w:rPr>
      <w:color w:val="808080"/>
    </w:rPr>
  </w:style>
  <w:style w:type="character" w:customStyle="1" w:styleId="sb8d990e2">
    <w:name w:val="sb8d990e2"/>
    <w:basedOn w:val="DefaultParagraphFont"/>
    <w:rsid w:val="00417C85"/>
  </w:style>
  <w:style w:type="paragraph" w:styleId="HTMLPreformatted">
    <w:name w:val="HTML Preformatted"/>
    <w:basedOn w:val="Normal"/>
    <w:link w:val="HTMLPreformattedChar"/>
    <w:uiPriority w:val="99"/>
    <w:unhideWhenUsed/>
    <w:rsid w:val="004D2643"/>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4D2643"/>
    <w:rPr>
      <w:rFonts w:ascii="Courier New" w:eastAsia="Times New Roman" w:hAnsi="Courier New" w:cs="Courier New"/>
      <w:bdr w:val="none" w:sz="0" w:space="0" w:color="auto"/>
      <w:lang w:val="en-US"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187EE6"/>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vertAlign w:val="superscript"/>
      <w:lang w:val="es-ES" w:eastAsia="es-ES"/>
    </w:rPr>
  </w:style>
  <w:style w:type="paragraph" w:styleId="EndnoteText">
    <w:name w:val="endnote text"/>
    <w:basedOn w:val="Normal"/>
    <w:link w:val="EndnoteTextChar"/>
    <w:uiPriority w:val="99"/>
    <w:semiHidden/>
    <w:unhideWhenUsed/>
    <w:rsid w:val="00265E2F"/>
    <w:rPr>
      <w:sz w:val="20"/>
      <w:szCs w:val="20"/>
    </w:rPr>
  </w:style>
  <w:style w:type="character" w:customStyle="1" w:styleId="EndnoteTextChar">
    <w:name w:val="Endnote Text Char"/>
    <w:basedOn w:val="DefaultParagraphFont"/>
    <w:link w:val="EndnoteText"/>
    <w:uiPriority w:val="99"/>
    <w:semiHidden/>
    <w:rsid w:val="00265E2F"/>
    <w:rPr>
      <w:lang w:val="en-US" w:eastAsia="en-US"/>
    </w:rPr>
  </w:style>
  <w:style w:type="character" w:styleId="EndnoteReference">
    <w:name w:val="endnote reference"/>
    <w:basedOn w:val="DefaultParagraphFont"/>
    <w:uiPriority w:val="99"/>
    <w:semiHidden/>
    <w:unhideWhenUsed/>
    <w:rsid w:val="00265E2F"/>
    <w:rPr>
      <w:vertAlign w:val="superscript"/>
    </w:rPr>
  </w:style>
  <w:style w:type="table" w:styleId="MediumGrid1">
    <w:name w:val="Medium Grid 1"/>
    <w:basedOn w:val="TableNormal"/>
    <w:uiPriority w:val="67"/>
    <w:rsid w:val="002406F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
    <w:name w:val="Light Grid"/>
    <w:basedOn w:val="TableNormal"/>
    <w:uiPriority w:val="62"/>
    <w:rsid w:val="002406F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next w:val="LightGrid"/>
    <w:uiPriority w:val="62"/>
    <w:rsid w:val="00186F0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MS Gothic"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MS Gothic"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MS Gothic" w:hAnsi="Cambria" w:cs="Times New Roman"/>
        <w:b/>
        <w:bCs/>
      </w:rPr>
    </w:tblStylePr>
    <w:tblStylePr w:type="lastCol">
      <w:rPr>
        <w:rFonts w:ascii="Cambria" w:eastAsia="MS Gothic"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ColorfulList-Accent11">
    <w:name w:val="Colorful List - Accent 11"/>
    <w:uiPriority w:val="34"/>
    <w:qFormat/>
    <w:rsid w:val="00915FF9"/>
    <w:pPr>
      <w:ind w:left="720"/>
    </w:pPr>
    <w:rPr>
      <w:rFonts w:ascii="Cambria" w:eastAsia="Cambria" w:hAnsi="Cambria" w:cs="Cambria"/>
      <w:color w:val="000000"/>
      <w:sz w:val="24"/>
      <w:szCs w:val="24"/>
      <w:u w:color="000000"/>
      <w:lang w:val="en-US"/>
    </w:rPr>
  </w:style>
  <w:style w:type="character" w:customStyle="1" w:styleId="BodyTextIndentChar1">
    <w:name w:val="Body Text Indent Char1"/>
    <w:locked/>
    <w:rsid w:val="007F5661"/>
    <w:rPr>
      <w:rFonts w:eastAsia="Times New Roman"/>
      <w:color w:val="000000"/>
      <w:sz w:val="24"/>
      <w:szCs w:val="24"/>
      <w:u w:color="000000"/>
      <w:lang w:val="es-ES_tradnl"/>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qFormat/>
    <w:rsid w:val="000D388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1">
    <w:name w:val="1"/>
    <w:basedOn w:val="Normal"/>
    <w:rsid w:val="007708B3"/>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customStyle="1" w:styleId="EstiloJustificado">
    <w:name w:val="Estilo Justificado"/>
    <w:basedOn w:val="Normal"/>
    <w:rsid w:val="006B2C2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Verdana" w:eastAsia="Times New Roman" w:hAnsi="Verdana"/>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0900">
      <w:bodyDiv w:val="1"/>
      <w:marLeft w:val="0"/>
      <w:marRight w:val="0"/>
      <w:marTop w:val="0"/>
      <w:marBottom w:val="0"/>
      <w:divBdr>
        <w:top w:val="none" w:sz="0" w:space="0" w:color="auto"/>
        <w:left w:val="none" w:sz="0" w:space="0" w:color="auto"/>
        <w:bottom w:val="none" w:sz="0" w:space="0" w:color="auto"/>
        <w:right w:val="none" w:sz="0" w:space="0" w:color="auto"/>
      </w:divBdr>
      <w:divsChild>
        <w:div w:id="1614703790">
          <w:marLeft w:val="0"/>
          <w:marRight w:val="0"/>
          <w:marTop w:val="0"/>
          <w:marBottom w:val="0"/>
          <w:divBdr>
            <w:top w:val="none" w:sz="0" w:space="0" w:color="auto"/>
            <w:left w:val="none" w:sz="0" w:space="0" w:color="auto"/>
            <w:bottom w:val="none" w:sz="0" w:space="0" w:color="auto"/>
            <w:right w:val="none" w:sz="0" w:space="0" w:color="auto"/>
          </w:divBdr>
          <w:divsChild>
            <w:div w:id="1615555170">
              <w:marLeft w:val="0"/>
              <w:marRight w:val="0"/>
              <w:marTop w:val="0"/>
              <w:marBottom w:val="0"/>
              <w:divBdr>
                <w:top w:val="none" w:sz="0" w:space="0" w:color="auto"/>
                <w:left w:val="none" w:sz="0" w:space="0" w:color="auto"/>
                <w:bottom w:val="none" w:sz="0" w:space="0" w:color="auto"/>
                <w:right w:val="none" w:sz="0" w:space="0" w:color="auto"/>
              </w:divBdr>
              <w:divsChild>
                <w:div w:id="17087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93949">
      <w:bodyDiv w:val="1"/>
      <w:marLeft w:val="0"/>
      <w:marRight w:val="0"/>
      <w:marTop w:val="0"/>
      <w:marBottom w:val="0"/>
      <w:divBdr>
        <w:top w:val="none" w:sz="0" w:space="0" w:color="auto"/>
        <w:left w:val="none" w:sz="0" w:space="0" w:color="auto"/>
        <w:bottom w:val="none" w:sz="0" w:space="0" w:color="auto"/>
        <w:right w:val="none" w:sz="0" w:space="0" w:color="auto"/>
      </w:divBdr>
      <w:divsChild>
        <w:div w:id="2063870308">
          <w:marLeft w:val="0"/>
          <w:marRight w:val="0"/>
          <w:marTop w:val="0"/>
          <w:marBottom w:val="0"/>
          <w:divBdr>
            <w:top w:val="none" w:sz="0" w:space="0" w:color="auto"/>
            <w:left w:val="none" w:sz="0" w:space="0" w:color="auto"/>
            <w:bottom w:val="none" w:sz="0" w:space="0" w:color="auto"/>
            <w:right w:val="none" w:sz="0" w:space="0" w:color="auto"/>
          </w:divBdr>
          <w:divsChild>
            <w:div w:id="1778405652">
              <w:marLeft w:val="0"/>
              <w:marRight w:val="0"/>
              <w:marTop w:val="0"/>
              <w:marBottom w:val="0"/>
              <w:divBdr>
                <w:top w:val="none" w:sz="0" w:space="0" w:color="auto"/>
                <w:left w:val="none" w:sz="0" w:space="0" w:color="auto"/>
                <w:bottom w:val="none" w:sz="0" w:space="0" w:color="auto"/>
                <w:right w:val="none" w:sz="0" w:space="0" w:color="auto"/>
              </w:divBdr>
              <w:divsChild>
                <w:div w:id="87242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3612">
      <w:bodyDiv w:val="1"/>
      <w:marLeft w:val="0"/>
      <w:marRight w:val="0"/>
      <w:marTop w:val="0"/>
      <w:marBottom w:val="0"/>
      <w:divBdr>
        <w:top w:val="none" w:sz="0" w:space="0" w:color="auto"/>
        <w:left w:val="none" w:sz="0" w:space="0" w:color="auto"/>
        <w:bottom w:val="none" w:sz="0" w:space="0" w:color="auto"/>
        <w:right w:val="none" w:sz="0" w:space="0" w:color="auto"/>
      </w:divBdr>
    </w:div>
    <w:div w:id="128473114">
      <w:bodyDiv w:val="1"/>
      <w:marLeft w:val="0"/>
      <w:marRight w:val="0"/>
      <w:marTop w:val="0"/>
      <w:marBottom w:val="0"/>
      <w:divBdr>
        <w:top w:val="none" w:sz="0" w:space="0" w:color="auto"/>
        <w:left w:val="none" w:sz="0" w:space="0" w:color="auto"/>
        <w:bottom w:val="none" w:sz="0" w:space="0" w:color="auto"/>
        <w:right w:val="none" w:sz="0" w:space="0" w:color="auto"/>
      </w:divBdr>
    </w:div>
    <w:div w:id="182089093">
      <w:bodyDiv w:val="1"/>
      <w:marLeft w:val="0"/>
      <w:marRight w:val="0"/>
      <w:marTop w:val="0"/>
      <w:marBottom w:val="0"/>
      <w:divBdr>
        <w:top w:val="none" w:sz="0" w:space="0" w:color="auto"/>
        <w:left w:val="none" w:sz="0" w:space="0" w:color="auto"/>
        <w:bottom w:val="none" w:sz="0" w:space="0" w:color="auto"/>
        <w:right w:val="none" w:sz="0" w:space="0" w:color="auto"/>
      </w:divBdr>
    </w:div>
    <w:div w:id="217208730">
      <w:bodyDiv w:val="1"/>
      <w:marLeft w:val="0"/>
      <w:marRight w:val="0"/>
      <w:marTop w:val="0"/>
      <w:marBottom w:val="0"/>
      <w:divBdr>
        <w:top w:val="none" w:sz="0" w:space="0" w:color="auto"/>
        <w:left w:val="none" w:sz="0" w:space="0" w:color="auto"/>
        <w:bottom w:val="none" w:sz="0" w:space="0" w:color="auto"/>
        <w:right w:val="none" w:sz="0" w:space="0" w:color="auto"/>
      </w:divBdr>
      <w:divsChild>
        <w:div w:id="226035566">
          <w:marLeft w:val="0"/>
          <w:marRight w:val="0"/>
          <w:marTop w:val="0"/>
          <w:marBottom w:val="0"/>
          <w:divBdr>
            <w:top w:val="none" w:sz="0" w:space="0" w:color="auto"/>
            <w:left w:val="none" w:sz="0" w:space="0" w:color="auto"/>
            <w:bottom w:val="none" w:sz="0" w:space="0" w:color="auto"/>
            <w:right w:val="none" w:sz="0" w:space="0" w:color="auto"/>
          </w:divBdr>
          <w:divsChild>
            <w:div w:id="1873301713">
              <w:marLeft w:val="0"/>
              <w:marRight w:val="0"/>
              <w:marTop w:val="0"/>
              <w:marBottom w:val="0"/>
              <w:divBdr>
                <w:top w:val="none" w:sz="0" w:space="0" w:color="auto"/>
                <w:left w:val="none" w:sz="0" w:space="0" w:color="auto"/>
                <w:bottom w:val="none" w:sz="0" w:space="0" w:color="auto"/>
                <w:right w:val="none" w:sz="0" w:space="0" w:color="auto"/>
              </w:divBdr>
              <w:divsChild>
                <w:div w:id="10421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7795">
      <w:bodyDiv w:val="1"/>
      <w:marLeft w:val="0"/>
      <w:marRight w:val="0"/>
      <w:marTop w:val="0"/>
      <w:marBottom w:val="0"/>
      <w:divBdr>
        <w:top w:val="none" w:sz="0" w:space="0" w:color="auto"/>
        <w:left w:val="none" w:sz="0" w:space="0" w:color="auto"/>
        <w:bottom w:val="none" w:sz="0" w:space="0" w:color="auto"/>
        <w:right w:val="none" w:sz="0" w:space="0" w:color="auto"/>
      </w:divBdr>
      <w:divsChild>
        <w:div w:id="615672209">
          <w:marLeft w:val="0"/>
          <w:marRight w:val="0"/>
          <w:marTop w:val="0"/>
          <w:marBottom w:val="0"/>
          <w:divBdr>
            <w:top w:val="none" w:sz="0" w:space="0" w:color="auto"/>
            <w:left w:val="none" w:sz="0" w:space="0" w:color="auto"/>
            <w:bottom w:val="none" w:sz="0" w:space="0" w:color="auto"/>
            <w:right w:val="none" w:sz="0" w:space="0" w:color="auto"/>
          </w:divBdr>
          <w:divsChild>
            <w:div w:id="488667486">
              <w:marLeft w:val="0"/>
              <w:marRight w:val="0"/>
              <w:marTop w:val="0"/>
              <w:marBottom w:val="0"/>
              <w:divBdr>
                <w:top w:val="none" w:sz="0" w:space="0" w:color="auto"/>
                <w:left w:val="none" w:sz="0" w:space="0" w:color="auto"/>
                <w:bottom w:val="none" w:sz="0" w:space="0" w:color="auto"/>
                <w:right w:val="none" w:sz="0" w:space="0" w:color="auto"/>
              </w:divBdr>
              <w:divsChild>
                <w:div w:id="5353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060335">
      <w:bodyDiv w:val="1"/>
      <w:marLeft w:val="0"/>
      <w:marRight w:val="0"/>
      <w:marTop w:val="0"/>
      <w:marBottom w:val="0"/>
      <w:divBdr>
        <w:top w:val="none" w:sz="0" w:space="0" w:color="auto"/>
        <w:left w:val="none" w:sz="0" w:space="0" w:color="auto"/>
        <w:bottom w:val="none" w:sz="0" w:space="0" w:color="auto"/>
        <w:right w:val="none" w:sz="0" w:space="0" w:color="auto"/>
      </w:divBdr>
    </w:div>
    <w:div w:id="362901482">
      <w:bodyDiv w:val="1"/>
      <w:marLeft w:val="0"/>
      <w:marRight w:val="0"/>
      <w:marTop w:val="0"/>
      <w:marBottom w:val="0"/>
      <w:divBdr>
        <w:top w:val="none" w:sz="0" w:space="0" w:color="auto"/>
        <w:left w:val="none" w:sz="0" w:space="0" w:color="auto"/>
        <w:bottom w:val="none" w:sz="0" w:space="0" w:color="auto"/>
        <w:right w:val="none" w:sz="0" w:space="0" w:color="auto"/>
      </w:divBdr>
    </w:div>
    <w:div w:id="391000965">
      <w:bodyDiv w:val="1"/>
      <w:marLeft w:val="0"/>
      <w:marRight w:val="0"/>
      <w:marTop w:val="0"/>
      <w:marBottom w:val="0"/>
      <w:divBdr>
        <w:top w:val="none" w:sz="0" w:space="0" w:color="auto"/>
        <w:left w:val="none" w:sz="0" w:space="0" w:color="auto"/>
        <w:bottom w:val="none" w:sz="0" w:space="0" w:color="auto"/>
        <w:right w:val="none" w:sz="0" w:space="0" w:color="auto"/>
      </w:divBdr>
    </w:div>
    <w:div w:id="396171635">
      <w:bodyDiv w:val="1"/>
      <w:marLeft w:val="0"/>
      <w:marRight w:val="0"/>
      <w:marTop w:val="0"/>
      <w:marBottom w:val="0"/>
      <w:divBdr>
        <w:top w:val="none" w:sz="0" w:space="0" w:color="auto"/>
        <w:left w:val="none" w:sz="0" w:space="0" w:color="auto"/>
        <w:bottom w:val="none" w:sz="0" w:space="0" w:color="auto"/>
        <w:right w:val="none" w:sz="0" w:space="0" w:color="auto"/>
      </w:divBdr>
    </w:div>
    <w:div w:id="431360052">
      <w:bodyDiv w:val="1"/>
      <w:marLeft w:val="0"/>
      <w:marRight w:val="0"/>
      <w:marTop w:val="0"/>
      <w:marBottom w:val="0"/>
      <w:divBdr>
        <w:top w:val="none" w:sz="0" w:space="0" w:color="auto"/>
        <w:left w:val="none" w:sz="0" w:space="0" w:color="auto"/>
        <w:bottom w:val="none" w:sz="0" w:space="0" w:color="auto"/>
        <w:right w:val="none" w:sz="0" w:space="0" w:color="auto"/>
      </w:divBdr>
    </w:div>
    <w:div w:id="572394939">
      <w:bodyDiv w:val="1"/>
      <w:marLeft w:val="0"/>
      <w:marRight w:val="0"/>
      <w:marTop w:val="0"/>
      <w:marBottom w:val="0"/>
      <w:divBdr>
        <w:top w:val="none" w:sz="0" w:space="0" w:color="auto"/>
        <w:left w:val="none" w:sz="0" w:space="0" w:color="auto"/>
        <w:bottom w:val="none" w:sz="0" w:space="0" w:color="auto"/>
        <w:right w:val="none" w:sz="0" w:space="0" w:color="auto"/>
      </w:divBdr>
      <w:divsChild>
        <w:div w:id="1909606406">
          <w:marLeft w:val="0"/>
          <w:marRight w:val="0"/>
          <w:marTop w:val="0"/>
          <w:marBottom w:val="0"/>
          <w:divBdr>
            <w:top w:val="none" w:sz="0" w:space="0" w:color="auto"/>
            <w:left w:val="none" w:sz="0" w:space="0" w:color="auto"/>
            <w:bottom w:val="none" w:sz="0" w:space="0" w:color="auto"/>
            <w:right w:val="none" w:sz="0" w:space="0" w:color="auto"/>
          </w:divBdr>
          <w:divsChild>
            <w:div w:id="309869785">
              <w:marLeft w:val="0"/>
              <w:marRight w:val="0"/>
              <w:marTop w:val="0"/>
              <w:marBottom w:val="0"/>
              <w:divBdr>
                <w:top w:val="none" w:sz="0" w:space="0" w:color="auto"/>
                <w:left w:val="none" w:sz="0" w:space="0" w:color="auto"/>
                <w:bottom w:val="none" w:sz="0" w:space="0" w:color="auto"/>
                <w:right w:val="none" w:sz="0" w:space="0" w:color="auto"/>
              </w:divBdr>
              <w:divsChild>
                <w:div w:id="957755225">
                  <w:marLeft w:val="0"/>
                  <w:marRight w:val="0"/>
                  <w:marTop w:val="0"/>
                  <w:marBottom w:val="0"/>
                  <w:divBdr>
                    <w:top w:val="none" w:sz="0" w:space="0" w:color="auto"/>
                    <w:left w:val="none" w:sz="0" w:space="0" w:color="auto"/>
                    <w:bottom w:val="none" w:sz="0" w:space="0" w:color="auto"/>
                    <w:right w:val="none" w:sz="0" w:space="0" w:color="auto"/>
                  </w:divBdr>
                  <w:divsChild>
                    <w:div w:id="10392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524764">
      <w:bodyDiv w:val="1"/>
      <w:marLeft w:val="0"/>
      <w:marRight w:val="0"/>
      <w:marTop w:val="0"/>
      <w:marBottom w:val="0"/>
      <w:divBdr>
        <w:top w:val="none" w:sz="0" w:space="0" w:color="auto"/>
        <w:left w:val="none" w:sz="0" w:space="0" w:color="auto"/>
        <w:bottom w:val="none" w:sz="0" w:space="0" w:color="auto"/>
        <w:right w:val="none" w:sz="0" w:space="0" w:color="auto"/>
      </w:divBdr>
    </w:div>
    <w:div w:id="746683242">
      <w:bodyDiv w:val="1"/>
      <w:marLeft w:val="0"/>
      <w:marRight w:val="0"/>
      <w:marTop w:val="0"/>
      <w:marBottom w:val="0"/>
      <w:divBdr>
        <w:top w:val="none" w:sz="0" w:space="0" w:color="auto"/>
        <w:left w:val="none" w:sz="0" w:space="0" w:color="auto"/>
        <w:bottom w:val="none" w:sz="0" w:space="0" w:color="auto"/>
        <w:right w:val="none" w:sz="0" w:space="0" w:color="auto"/>
      </w:divBdr>
    </w:div>
    <w:div w:id="779111432">
      <w:bodyDiv w:val="1"/>
      <w:marLeft w:val="0"/>
      <w:marRight w:val="0"/>
      <w:marTop w:val="0"/>
      <w:marBottom w:val="0"/>
      <w:divBdr>
        <w:top w:val="none" w:sz="0" w:space="0" w:color="auto"/>
        <w:left w:val="none" w:sz="0" w:space="0" w:color="auto"/>
        <w:bottom w:val="none" w:sz="0" w:space="0" w:color="auto"/>
        <w:right w:val="none" w:sz="0" w:space="0" w:color="auto"/>
      </w:divBdr>
    </w:div>
    <w:div w:id="804010748">
      <w:bodyDiv w:val="1"/>
      <w:marLeft w:val="0"/>
      <w:marRight w:val="0"/>
      <w:marTop w:val="0"/>
      <w:marBottom w:val="0"/>
      <w:divBdr>
        <w:top w:val="none" w:sz="0" w:space="0" w:color="auto"/>
        <w:left w:val="none" w:sz="0" w:space="0" w:color="auto"/>
        <w:bottom w:val="none" w:sz="0" w:space="0" w:color="auto"/>
        <w:right w:val="none" w:sz="0" w:space="0" w:color="auto"/>
      </w:divBdr>
    </w:div>
    <w:div w:id="862866816">
      <w:bodyDiv w:val="1"/>
      <w:marLeft w:val="0"/>
      <w:marRight w:val="0"/>
      <w:marTop w:val="0"/>
      <w:marBottom w:val="0"/>
      <w:divBdr>
        <w:top w:val="none" w:sz="0" w:space="0" w:color="auto"/>
        <w:left w:val="none" w:sz="0" w:space="0" w:color="auto"/>
        <w:bottom w:val="none" w:sz="0" w:space="0" w:color="auto"/>
        <w:right w:val="none" w:sz="0" w:space="0" w:color="auto"/>
      </w:divBdr>
    </w:div>
    <w:div w:id="869807112">
      <w:bodyDiv w:val="1"/>
      <w:marLeft w:val="0"/>
      <w:marRight w:val="0"/>
      <w:marTop w:val="0"/>
      <w:marBottom w:val="0"/>
      <w:divBdr>
        <w:top w:val="none" w:sz="0" w:space="0" w:color="auto"/>
        <w:left w:val="none" w:sz="0" w:space="0" w:color="auto"/>
        <w:bottom w:val="none" w:sz="0" w:space="0" w:color="auto"/>
        <w:right w:val="none" w:sz="0" w:space="0" w:color="auto"/>
      </w:divBdr>
    </w:div>
    <w:div w:id="888735094">
      <w:bodyDiv w:val="1"/>
      <w:marLeft w:val="0"/>
      <w:marRight w:val="0"/>
      <w:marTop w:val="0"/>
      <w:marBottom w:val="0"/>
      <w:divBdr>
        <w:top w:val="none" w:sz="0" w:space="0" w:color="auto"/>
        <w:left w:val="none" w:sz="0" w:space="0" w:color="auto"/>
        <w:bottom w:val="none" w:sz="0" w:space="0" w:color="auto"/>
        <w:right w:val="none" w:sz="0" w:space="0" w:color="auto"/>
      </w:divBdr>
    </w:div>
    <w:div w:id="912397683">
      <w:bodyDiv w:val="1"/>
      <w:marLeft w:val="0"/>
      <w:marRight w:val="0"/>
      <w:marTop w:val="0"/>
      <w:marBottom w:val="0"/>
      <w:divBdr>
        <w:top w:val="none" w:sz="0" w:space="0" w:color="auto"/>
        <w:left w:val="none" w:sz="0" w:space="0" w:color="auto"/>
        <w:bottom w:val="none" w:sz="0" w:space="0" w:color="auto"/>
        <w:right w:val="none" w:sz="0" w:space="0" w:color="auto"/>
      </w:divBdr>
    </w:div>
    <w:div w:id="1071273860">
      <w:bodyDiv w:val="1"/>
      <w:marLeft w:val="0"/>
      <w:marRight w:val="0"/>
      <w:marTop w:val="0"/>
      <w:marBottom w:val="0"/>
      <w:divBdr>
        <w:top w:val="none" w:sz="0" w:space="0" w:color="auto"/>
        <w:left w:val="none" w:sz="0" w:space="0" w:color="auto"/>
        <w:bottom w:val="none" w:sz="0" w:space="0" w:color="auto"/>
        <w:right w:val="none" w:sz="0" w:space="0" w:color="auto"/>
      </w:divBdr>
    </w:div>
    <w:div w:id="1220936955">
      <w:bodyDiv w:val="1"/>
      <w:marLeft w:val="0"/>
      <w:marRight w:val="0"/>
      <w:marTop w:val="0"/>
      <w:marBottom w:val="0"/>
      <w:divBdr>
        <w:top w:val="none" w:sz="0" w:space="0" w:color="auto"/>
        <w:left w:val="none" w:sz="0" w:space="0" w:color="auto"/>
        <w:bottom w:val="none" w:sz="0" w:space="0" w:color="auto"/>
        <w:right w:val="none" w:sz="0" w:space="0" w:color="auto"/>
      </w:divBdr>
      <w:divsChild>
        <w:div w:id="804811409">
          <w:marLeft w:val="0"/>
          <w:marRight w:val="0"/>
          <w:marTop w:val="0"/>
          <w:marBottom w:val="0"/>
          <w:divBdr>
            <w:top w:val="none" w:sz="0" w:space="0" w:color="auto"/>
            <w:left w:val="none" w:sz="0" w:space="0" w:color="auto"/>
            <w:bottom w:val="none" w:sz="0" w:space="0" w:color="auto"/>
            <w:right w:val="none" w:sz="0" w:space="0" w:color="auto"/>
          </w:divBdr>
          <w:divsChild>
            <w:div w:id="992490227">
              <w:marLeft w:val="0"/>
              <w:marRight w:val="0"/>
              <w:marTop w:val="0"/>
              <w:marBottom w:val="0"/>
              <w:divBdr>
                <w:top w:val="none" w:sz="0" w:space="0" w:color="auto"/>
                <w:left w:val="none" w:sz="0" w:space="0" w:color="auto"/>
                <w:bottom w:val="none" w:sz="0" w:space="0" w:color="auto"/>
                <w:right w:val="none" w:sz="0" w:space="0" w:color="auto"/>
              </w:divBdr>
              <w:divsChild>
                <w:div w:id="10595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032220">
      <w:bodyDiv w:val="1"/>
      <w:marLeft w:val="0"/>
      <w:marRight w:val="0"/>
      <w:marTop w:val="0"/>
      <w:marBottom w:val="0"/>
      <w:divBdr>
        <w:top w:val="none" w:sz="0" w:space="0" w:color="auto"/>
        <w:left w:val="none" w:sz="0" w:space="0" w:color="auto"/>
        <w:bottom w:val="none" w:sz="0" w:space="0" w:color="auto"/>
        <w:right w:val="none" w:sz="0" w:space="0" w:color="auto"/>
      </w:divBdr>
      <w:divsChild>
        <w:div w:id="1793479875">
          <w:marLeft w:val="0"/>
          <w:marRight w:val="0"/>
          <w:marTop w:val="0"/>
          <w:marBottom w:val="0"/>
          <w:divBdr>
            <w:top w:val="none" w:sz="0" w:space="0" w:color="auto"/>
            <w:left w:val="none" w:sz="0" w:space="0" w:color="auto"/>
            <w:bottom w:val="none" w:sz="0" w:space="0" w:color="auto"/>
            <w:right w:val="none" w:sz="0" w:space="0" w:color="auto"/>
          </w:divBdr>
          <w:divsChild>
            <w:div w:id="59988567">
              <w:marLeft w:val="0"/>
              <w:marRight w:val="0"/>
              <w:marTop w:val="0"/>
              <w:marBottom w:val="0"/>
              <w:divBdr>
                <w:top w:val="none" w:sz="0" w:space="0" w:color="auto"/>
                <w:left w:val="none" w:sz="0" w:space="0" w:color="auto"/>
                <w:bottom w:val="none" w:sz="0" w:space="0" w:color="auto"/>
                <w:right w:val="none" w:sz="0" w:space="0" w:color="auto"/>
              </w:divBdr>
              <w:divsChild>
                <w:div w:id="2141341908">
                  <w:marLeft w:val="0"/>
                  <w:marRight w:val="0"/>
                  <w:marTop w:val="0"/>
                  <w:marBottom w:val="0"/>
                  <w:divBdr>
                    <w:top w:val="none" w:sz="0" w:space="0" w:color="auto"/>
                    <w:left w:val="none" w:sz="0" w:space="0" w:color="auto"/>
                    <w:bottom w:val="none" w:sz="0" w:space="0" w:color="auto"/>
                    <w:right w:val="none" w:sz="0" w:space="0" w:color="auto"/>
                  </w:divBdr>
                  <w:divsChild>
                    <w:div w:id="7263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44467">
      <w:bodyDiv w:val="1"/>
      <w:marLeft w:val="0"/>
      <w:marRight w:val="0"/>
      <w:marTop w:val="0"/>
      <w:marBottom w:val="0"/>
      <w:divBdr>
        <w:top w:val="none" w:sz="0" w:space="0" w:color="auto"/>
        <w:left w:val="none" w:sz="0" w:space="0" w:color="auto"/>
        <w:bottom w:val="none" w:sz="0" w:space="0" w:color="auto"/>
        <w:right w:val="none" w:sz="0" w:space="0" w:color="auto"/>
      </w:divBdr>
    </w:div>
    <w:div w:id="1468745761">
      <w:bodyDiv w:val="1"/>
      <w:marLeft w:val="0"/>
      <w:marRight w:val="0"/>
      <w:marTop w:val="0"/>
      <w:marBottom w:val="0"/>
      <w:divBdr>
        <w:top w:val="none" w:sz="0" w:space="0" w:color="auto"/>
        <w:left w:val="none" w:sz="0" w:space="0" w:color="auto"/>
        <w:bottom w:val="none" w:sz="0" w:space="0" w:color="auto"/>
        <w:right w:val="none" w:sz="0" w:space="0" w:color="auto"/>
      </w:divBdr>
    </w:div>
    <w:div w:id="1477524889">
      <w:bodyDiv w:val="1"/>
      <w:marLeft w:val="0"/>
      <w:marRight w:val="0"/>
      <w:marTop w:val="0"/>
      <w:marBottom w:val="0"/>
      <w:divBdr>
        <w:top w:val="none" w:sz="0" w:space="0" w:color="auto"/>
        <w:left w:val="none" w:sz="0" w:space="0" w:color="auto"/>
        <w:bottom w:val="none" w:sz="0" w:space="0" w:color="auto"/>
        <w:right w:val="none" w:sz="0" w:space="0" w:color="auto"/>
      </w:divBdr>
    </w:div>
    <w:div w:id="1515920160">
      <w:bodyDiv w:val="1"/>
      <w:marLeft w:val="0"/>
      <w:marRight w:val="0"/>
      <w:marTop w:val="0"/>
      <w:marBottom w:val="0"/>
      <w:divBdr>
        <w:top w:val="none" w:sz="0" w:space="0" w:color="auto"/>
        <w:left w:val="none" w:sz="0" w:space="0" w:color="auto"/>
        <w:bottom w:val="none" w:sz="0" w:space="0" w:color="auto"/>
        <w:right w:val="none" w:sz="0" w:space="0" w:color="auto"/>
      </w:divBdr>
      <w:divsChild>
        <w:div w:id="1778017893">
          <w:marLeft w:val="0"/>
          <w:marRight w:val="0"/>
          <w:marTop w:val="0"/>
          <w:marBottom w:val="0"/>
          <w:divBdr>
            <w:top w:val="none" w:sz="0" w:space="0" w:color="auto"/>
            <w:left w:val="none" w:sz="0" w:space="0" w:color="auto"/>
            <w:bottom w:val="none" w:sz="0" w:space="0" w:color="auto"/>
            <w:right w:val="none" w:sz="0" w:space="0" w:color="auto"/>
          </w:divBdr>
          <w:divsChild>
            <w:div w:id="518545274">
              <w:marLeft w:val="0"/>
              <w:marRight w:val="0"/>
              <w:marTop w:val="0"/>
              <w:marBottom w:val="0"/>
              <w:divBdr>
                <w:top w:val="none" w:sz="0" w:space="0" w:color="auto"/>
                <w:left w:val="none" w:sz="0" w:space="0" w:color="auto"/>
                <w:bottom w:val="none" w:sz="0" w:space="0" w:color="auto"/>
                <w:right w:val="none" w:sz="0" w:space="0" w:color="auto"/>
              </w:divBdr>
              <w:divsChild>
                <w:div w:id="14956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8871">
      <w:bodyDiv w:val="1"/>
      <w:marLeft w:val="0"/>
      <w:marRight w:val="0"/>
      <w:marTop w:val="0"/>
      <w:marBottom w:val="0"/>
      <w:divBdr>
        <w:top w:val="none" w:sz="0" w:space="0" w:color="auto"/>
        <w:left w:val="none" w:sz="0" w:space="0" w:color="auto"/>
        <w:bottom w:val="none" w:sz="0" w:space="0" w:color="auto"/>
        <w:right w:val="none" w:sz="0" w:space="0" w:color="auto"/>
      </w:divBdr>
      <w:divsChild>
        <w:div w:id="2000881240">
          <w:marLeft w:val="0"/>
          <w:marRight w:val="0"/>
          <w:marTop w:val="0"/>
          <w:marBottom w:val="0"/>
          <w:divBdr>
            <w:top w:val="none" w:sz="0" w:space="0" w:color="auto"/>
            <w:left w:val="none" w:sz="0" w:space="0" w:color="auto"/>
            <w:bottom w:val="none" w:sz="0" w:space="0" w:color="auto"/>
            <w:right w:val="none" w:sz="0" w:space="0" w:color="auto"/>
          </w:divBdr>
          <w:divsChild>
            <w:div w:id="183977375">
              <w:marLeft w:val="0"/>
              <w:marRight w:val="0"/>
              <w:marTop w:val="0"/>
              <w:marBottom w:val="0"/>
              <w:divBdr>
                <w:top w:val="none" w:sz="0" w:space="0" w:color="auto"/>
                <w:left w:val="none" w:sz="0" w:space="0" w:color="auto"/>
                <w:bottom w:val="none" w:sz="0" w:space="0" w:color="auto"/>
                <w:right w:val="none" w:sz="0" w:space="0" w:color="auto"/>
              </w:divBdr>
              <w:divsChild>
                <w:div w:id="4332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5607">
      <w:bodyDiv w:val="1"/>
      <w:marLeft w:val="0"/>
      <w:marRight w:val="0"/>
      <w:marTop w:val="0"/>
      <w:marBottom w:val="0"/>
      <w:divBdr>
        <w:top w:val="none" w:sz="0" w:space="0" w:color="auto"/>
        <w:left w:val="none" w:sz="0" w:space="0" w:color="auto"/>
        <w:bottom w:val="none" w:sz="0" w:space="0" w:color="auto"/>
        <w:right w:val="none" w:sz="0" w:space="0" w:color="auto"/>
      </w:divBdr>
      <w:divsChild>
        <w:div w:id="1885410878">
          <w:marLeft w:val="0"/>
          <w:marRight w:val="0"/>
          <w:marTop w:val="0"/>
          <w:marBottom w:val="0"/>
          <w:divBdr>
            <w:top w:val="none" w:sz="0" w:space="0" w:color="auto"/>
            <w:left w:val="none" w:sz="0" w:space="0" w:color="auto"/>
            <w:bottom w:val="none" w:sz="0" w:space="0" w:color="auto"/>
            <w:right w:val="none" w:sz="0" w:space="0" w:color="auto"/>
          </w:divBdr>
          <w:divsChild>
            <w:div w:id="862671937">
              <w:marLeft w:val="0"/>
              <w:marRight w:val="0"/>
              <w:marTop w:val="0"/>
              <w:marBottom w:val="0"/>
              <w:divBdr>
                <w:top w:val="none" w:sz="0" w:space="0" w:color="auto"/>
                <w:left w:val="none" w:sz="0" w:space="0" w:color="auto"/>
                <w:bottom w:val="none" w:sz="0" w:space="0" w:color="auto"/>
                <w:right w:val="none" w:sz="0" w:space="0" w:color="auto"/>
              </w:divBdr>
              <w:divsChild>
                <w:div w:id="9130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09477">
      <w:bodyDiv w:val="1"/>
      <w:marLeft w:val="0"/>
      <w:marRight w:val="0"/>
      <w:marTop w:val="0"/>
      <w:marBottom w:val="0"/>
      <w:divBdr>
        <w:top w:val="none" w:sz="0" w:space="0" w:color="auto"/>
        <w:left w:val="none" w:sz="0" w:space="0" w:color="auto"/>
        <w:bottom w:val="none" w:sz="0" w:space="0" w:color="auto"/>
        <w:right w:val="none" w:sz="0" w:space="0" w:color="auto"/>
      </w:divBdr>
      <w:divsChild>
        <w:div w:id="1982227836">
          <w:marLeft w:val="0"/>
          <w:marRight w:val="0"/>
          <w:marTop w:val="0"/>
          <w:marBottom w:val="0"/>
          <w:divBdr>
            <w:top w:val="none" w:sz="0" w:space="0" w:color="auto"/>
            <w:left w:val="none" w:sz="0" w:space="0" w:color="auto"/>
            <w:bottom w:val="none" w:sz="0" w:space="0" w:color="auto"/>
            <w:right w:val="none" w:sz="0" w:space="0" w:color="auto"/>
          </w:divBdr>
          <w:divsChild>
            <w:div w:id="184757938">
              <w:marLeft w:val="0"/>
              <w:marRight w:val="0"/>
              <w:marTop w:val="0"/>
              <w:marBottom w:val="0"/>
              <w:divBdr>
                <w:top w:val="none" w:sz="0" w:space="0" w:color="auto"/>
                <w:left w:val="none" w:sz="0" w:space="0" w:color="auto"/>
                <w:bottom w:val="none" w:sz="0" w:space="0" w:color="auto"/>
                <w:right w:val="none" w:sz="0" w:space="0" w:color="auto"/>
              </w:divBdr>
              <w:divsChild>
                <w:div w:id="76507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791968368">
      <w:bodyDiv w:val="1"/>
      <w:marLeft w:val="0"/>
      <w:marRight w:val="0"/>
      <w:marTop w:val="0"/>
      <w:marBottom w:val="0"/>
      <w:divBdr>
        <w:top w:val="none" w:sz="0" w:space="0" w:color="auto"/>
        <w:left w:val="none" w:sz="0" w:space="0" w:color="auto"/>
        <w:bottom w:val="none" w:sz="0" w:space="0" w:color="auto"/>
        <w:right w:val="none" w:sz="0" w:space="0" w:color="auto"/>
      </w:divBdr>
      <w:divsChild>
        <w:div w:id="456724534">
          <w:marLeft w:val="0"/>
          <w:marRight w:val="0"/>
          <w:marTop w:val="0"/>
          <w:marBottom w:val="0"/>
          <w:divBdr>
            <w:top w:val="none" w:sz="0" w:space="0" w:color="auto"/>
            <w:left w:val="none" w:sz="0" w:space="0" w:color="auto"/>
            <w:bottom w:val="none" w:sz="0" w:space="0" w:color="auto"/>
            <w:right w:val="none" w:sz="0" w:space="0" w:color="auto"/>
          </w:divBdr>
          <w:divsChild>
            <w:div w:id="1916433413">
              <w:marLeft w:val="0"/>
              <w:marRight w:val="0"/>
              <w:marTop w:val="0"/>
              <w:marBottom w:val="0"/>
              <w:divBdr>
                <w:top w:val="none" w:sz="0" w:space="0" w:color="auto"/>
                <w:left w:val="none" w:sz="0" w:space="0" w:color="auto"/>
                <w:bottom w:val="none" w:sz="0" w:space="0" w:color="auto"/>
                <w:right w:val="none" w:sz="0" w:space="0" w:color="auto"/>
              </w:divBdr>
              <w:divsChild>
                <w:div w:id="1300066048">
                  <w:marLeft w:val="0"/>
                  <w:marRight w:val="0"/>
                  <w:marTop w:val="0"/>
                  <w:marBottom w:val="0"/>
                  <w:divBdr>
                    <w:top w:val="none" w:sz="0" w:space="0" w:color="auto"/>
                    <w:left w:val="none" w:sz="0" w:space="0" w:color="auto"/>
                    <w:bottom w:val="none" w:sz="0" w:space="0" w:color="auto"/>
                    <w:right w:val="none" w:sz="0" w:space="0" w:color="auto"/>
                  </w:divBdr>
                </w:div>
                <w:div w:id="207080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05601">
      <w:bodyDiv w:val="1"/>
      <w:marLeft w:val="0"/>
      <w:marRight w:val="0"/>
      <w:marTop w:val="0"/>
      <w:marBottom w:val="0"/>
      <w:divBdr>
        <w:top w:val="none" w:sz="0" w:space="0" w:color="auto"/>
        <w:left w:val="none" w:sz="0" w:space="0" w:color="auto"/>
        <w:bottom w:val="none" w:sz="0" w:space="0" w:color="auto"/>
        <w:right w:val="none" w:sz="0" w:space="0" w:color="auto"/>
      </w:divBdr>
      <w:divsChild>
        <w:div w:id="24913458">
          <w:marLeft w:val="0"/>
          <w:marRight w:val="0"/>
          <w:marTop w:val="0"/>
          <w:marBottom w:val="0"/>
          <w:divBdr>
            <w:top w:val="none" w:sz="0" w:space="0" w:color="auto"/>
            <w:left w:val="none" w:sz="0" w:space="0" w:color="auto"/>
            <w:bottom w:val="none" w:sz="0" w:space="0" w:color="auto"/>
            <w:right w:val="none" w:sz="0" w:space="0" w:color="auto"/>
          </w:divBdr>
          <w:divsChild>
            <w:div w:id="673724396">
              <w:marLeft w:val="0"/>
              <w:marRight w:val="0"/>
              <w:marTop w:val="0"/>
              <w:marBottom w:val="0"/>
              <w:divBdr>
                <w:top w:val="none" w:sz="0" w:space="0" w:color="auto"/>
                <w:left w:val="none" w:sz="0" w:space="0" w:color="auto"/>
                <w:bottom w:val="none" w:sz="0" w:space="0" w:color="auto"/>
                <w:right w:val="none" w:sz="0" w:space="0" w:color="auto"/>
              </w:divBdr>
              <w:divsChild>
                <w:div w:id="67084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434249">
      <w:bodyDiv w:val="1"/>
      <w:marLeft w:val="0"/>
      <w:marRight w:val="0"/>
      <w:marTop w:val="0"/>
      <w:marBottom w:val="0"/>
      <w:divBdr>
        <w:top w:val="none" w:sz="0" w:space="0" w:color="auto"/>
        <w:left w:val="none" w:sz="0" w:space="0" w:color="auto"/>
        <w:bottom w:val="none" w:sz="0" w:space="0" w:color="auto"/>
        <w:right w:val="none" w:sz="0" w:space="0" w:color="auto"/>
      </w:divBdr>
    </w:div>
    <w:div w:id="1954901013">
      <w:bodyDiv w:val="1"/>
      <w:marLeft w:val="0"/>
      <w:marRight w:val="0"/>
      <w:marTop w:val="0"/>
      <w:marBottom w:val="0"/>
      <w:divBdr>
        <w:top w:val="none" w:sz="0" w:space="0" w:color="auto"/>
        <w:left w:val="none" w:sz="0" w:space="0" w:color="auto"/>
        <w:bottom w:val="none" w:sz="0" w:space="0" w:color="auto"/>
        <w:right w:val="none" w:sz="0" w:space="0" w:color="auto"/>
      </w:divBdr>
    </w:div>
    <w:div w:id="1963267792">
      <w:bodyDiv w:val="1"/>
      <w:marLeft w:val="0"/>
      <w:marRight w:val="0"/>
      <w:marTop w:val="0"/>
      <w:marBottom w:val="0"/>
      <w:divBdr>
        <w:top w:val="none" w:sz="0" w:space="0" w:color="auto"/>
        <w:left w:val="none" w:sz="0" w:space="0" w:color="auto"/>
        <w:bottom w:val="none" w:sz="0" w:space="0" w:color="auto"/>
        <w:right w:val="none" w:sz="0" w:space="0" w:color="auto"/>
      </w:divBdr>
      <w:divsChild>
        <w:div w:id="165872867">
          <w:marLeft w:val="0"/>
          <w:marRight w:val="0"/>
          <w:marTop w:val="0"/>
          <w:marBottom w:val="0"/>
          <w:divBdr>
            <w:top w:val="none" w:sz="0" w:space="0" w:color="auto"/>
            <w:left w:val="none" w:sz="0" w:space="0" w:color="auto"/>
            <w:bottom w:val="none" w:sz="0" w:space="0" w:color="auto"/>
            <w:right w:val="none" w:sz="0" w:space="0" w:color="auto"/>
          </w:divBdr>
        </w:div>
        <w:div w:id="972365312">
          <w:marLeft w:val="0"/>
          <w:marRight w:val="0"/>
          <w:marTop w:val="0"/>
          <w:marBottom w:val="0"/>
          <w:divBdr>
            <w:top w:val="none" w:sz="0" w:space="0" w:color="auto"/>
            <w:left w:val="none" w:sz="0" w:space="0" w:color="auto"/>
            <w:bottom w:val="none" w:sz="0" w:space="0" w:color="auto"/>
            <w:right w:val="none" w:sz="0" w:space="0" w:color="auto"/>
          </w:divBdr>
        </w:div>
      </w:divsChild>
    </w:div>
    <w:div w:id="1966963980">
      <w:bodyDiv w:val="1"/>
      <w:marLeft w:val="0"/>
      <w:marRight w:val="0"/>
      <w:marTop w:val="0"/>
      <w:marBottom w:val="0"/>
      <w:divBdr>
        <w:top w:val="none" w:sz="0" w:space="0" w:color="auto"/>
        <w:left w:val="none" w:sz="0" w:space="0" w:color="auto"/>
        <w:bottom w:val="none" w:sz="0" w:space="0" w:color="auto"/>
        <w:right w:val="none" w:sz="0" w:space="0" w:color="auto"/>
      </w:divBdr>
      <w:divsChild>
        <w:div w:id="21711777">
          <w:marLeft w:val="0"/>
          <w:marRight w:val="0"/>
          <w:marTop w:val="0"/>
          <w:marBottom w:val="0"/>
          <w:divBdr>
            <w:top w:val="none" w:sz="0" w:space="0" w:color="auto"/>
            <w:left w:val="none" w:sz="0" w:space="0" w:color="auto"/>
            <w:bottom w:val="none" w:sz="0" w:space="0" w:color="auto"/>
            <w:right w:val="none" w:sz="0" w:space="0" w:color="auto"/>
          </w:divBdr>
          <w:divsChild>
            <w:div w:id="1650017355">
              <w:marLeft w:val="0"/>
              <w:marRight w:val="0"/>
              <w:marTop w:val="0"/>
              <w:marBottom w:val="0"/>
              <w:divBdr>
                <w:top w:val="none" w:sz="0" w:space="0" w:color="auto"/>
                <w:left w:val="none" w:sz="0" w:space="0" w:color="auto"/>
                <w:bottom w:val="none" w:sz="0" w:space="0" w:color="auto"/>
                <w:right w:val="none" w:sz="0" w:space="0" w:color="auto"/>
              </w:divBdr>
              <w:divsChild>
                <w:div w:id="117946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665976">
      <w:bodyDiv w:val="1"/>
      <w:marLeft w:val="0"/>
      <w:marRight w:val="0"/>
      <w:marTop w:val="0"/>
      <w:marBottom w:val="0"/>
      <w:divBdr>
        <w:top w:val="none" w:sz="0" w:space="0" w:color="auto"/>
        <w:left w:val="none" w:sz="0" w:space="0" w:color="auto"/>
        <w:bottom w:val="none" w:sz="0" w:space="0" w:color="auto"/>
        <w:right w:val="none" w:sz="0" w:space="0" w:color="auto"/>
      </w:divBdr>
    </w:div>
    <w:div w:id="2039357256">
      <w:bodyDiv w:val="1"/>
      <w:marLeft w:val="0"/>
      <w:marRight w:val="0"/>
      <w:marTop w:val="0"/>
      <w:marBottom w:val="0"/>
      <w:divBdr>
        <w:top w:val="none" w:sz="0" w:space="0" w:color="auto"/>
        <w:left w:val="none" w:sz="0" w:space="0" w:color="auto"/>
        <w:bottom w:val="none" w:sz="0" w:space="0" w:color="auto"/>
        <w:right w:val="none" w:sz="0" w:space="0" w:color="auto"/>
      </w:divBdr>
      <w:divsChild>
        <w:div w:id="992835716">
          <w:marLeft w:val="0"/>
          <w:marRight w:val="0"/>
          <w:marTop w:val="0"/>
          <w:marBottom w:val="0"/>
          <w:divBdr>
            <w:top w:val="none" w:sz="0" w:space="0" w:color="auto"/>
            <w:left w:val="none" w:sz="0" w:space="0" w:color="auto"/>
            <w:bottom w:val="none" w:sz="0" w:space="0" w:color="auto"/>
            <w:right w:val="none" w:sz="0" w:space="0" w:color="auto"/>
          </w:divBdr>
          <w:divsChild>
            <w:div w:id="819346187">
              <w:marLeft w:val="0"/>
              <w:marRight w:val="0"/>
              <w:marTop w:val="0"/>
              <w:marBottom w:val="0"/>
              <w:divBdr>
                <w:top w:val="none" w:sz="0" w:space="0" w:color="auto"/>
                <w:left w:val="none" w:sz="0" w:space="0" w:color="auto"/>
                <w:bottom w:val="none" w:sz="0" w:space="0" w:color="auto"/>
                <w:right w:val="none" w:sz="0" w:space="0" w:color="auto"/>
              </w:divBdr>
              <w:divsChild>
                <w:div w:id="14393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192119">
      <w:bodyDiv w:val="1"/>
      <w:marLeft w:val="0"/>
      <w:marRight w:val="0"/>
      <w:marTop w:val="0"/>
      <w:marBottom w:val="0"/>
      <w:divBdr>
        <w:top w:val="none" w:sz="0" w:space="0" w:color="auto"/>
        <w:left w:val="none" w:sz="0" w:space="0" w:color="auto"/>
        <w:bottom w:val="none" w:sz="0" w:space="0" w:color="auto"/>
        <w:right w:val="none" w:sz="0" w:space="0" w:color="auto"/>
      </w:divBdr>
    </w:div>
    <w:div w:id="2096509803">
      <w:bodyDiv w:val="1"/>
      <w:marLeft w:val="0"/>
      <w:marRight w:val="0"/>
      <w:marTop w:val="0"/>
      <w:marBottom w:val="0"/>
      <w:divBdr>
        <w:top w:val="none" w:sz="0" w:space="0" w:color="auto"/>
        <w:left w:val="none" w:sz="0" w:space="0" w:color="auto"/>
        <w:bottom w:val="none" w:sz="0" w:space="0" w:color="auto"/>
        <w:right w:val="none" w:sz="0" w:space="0" w:color="auto"/>
      </w:divBdr>
    </w:div>
    <w:div w:id="2133282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0.jpeg"/><Relationship Id="rId4"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joomla.corteidh.or.cr:8080/joomla/es/casos-contenciosos/38-jurisprudencia/1450-corte-idh-caso-lopez-mendoza-vs-venezuela-fondo-reparaciones-y-costas-sentencia-de-1-de-septiembre-de-2011-serie-c-no-233" TargetMode="External"/><Relationship Id="rId2" Type="http://schemas.openxmlformats.org/officeDocument/2006/relationships/hyperlink" Target="http://joomla.corteidh.or.cr:8080/joomla/es/casos-contenciosos/38-jurisprudencia/475-corte-idh-caso-del-tribunal-constitucional-vs-peru-fondo-reparaciones-y-costas-sentencia-de-31-de-enero-de-2001-serie-c-no-71" TargetMode="External"/><Relationship Id="rId1"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 Id="rId4" Type="http://schemas.openxmlformats.org/officeDocument/2006/relationships/hyperlink" Target="http://joomla.corteidh.or.cr:8080/joomla/es/casos-contenciosos/38-jurisprudencia/476-corte-idh-caso-baena-ricardo-y-otros-vs-panama-fondo-reparaciones-y-costas-sentencia-de-2-de-febrero-de-2001-serie-c-no-7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E7266-A419-44CB-8BED-7C1B3B7A9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10583</Words>
  <Characters>60327</Characters>
  <Application>Microsoft Office Word</Application>
  <DocSecurity>0</DocSecurity>
  <Lines>502</Lines>
  <Paragraphs>141</Paragraphs>
  <ScaleCrop>false</ScaleCrop>
  <Company/>
  <LinksUpToDate>false</LinksUpToDate>
  <CharactersWithSpaces>70769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2020-10-28T22:44:00Z</dcterms:created>
  <dcterms:modified xsi:type="dcterms:W3CDTF">2020-10-28T22:44:00Z</dcterms:modified>
</cp:coreProperties>
</file>